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0210" w14:textId="2DDD3371" w:rsidR="00AC7A82" w:rsidRDefault="00AD2CD0" w:rsidP="00B74EC0">
      <w:pPr>
        <w:spacing w:after="240"/>
        <w:jc w:val="center"/>
        <w:rPr>
          <w:rFonts w:cs="Times New Roman"/>
          <w:b/>
          <w:bCs/>
          <w:sz w:val="28"/>
          <w:szCs w:val="28"/>
        </w:rPr>
      </w:pPr>
      <w:r>
        <w:rPr>
          <w:rFonts w:cs="Times New Roman"/>
          <w:b/>
          <w:bCs/>
          <w:sz w:val="28"/>
          <w:szCs w:val="28"/>
        </w:rPr>
        <w:t>Predicting Endogenous Bank Health</w:t>
      </w:r>
      <w:r w:rsidR="006C2B23">
        <w:rPr>
          <w:rFonts w:cs="Times New Roman"/>
          <w:b/>
          <w:bCs/>
          <w:sz w:val="28"/>
          <w:szCs w:val="28"/>
        </w:rPr>
        <w:t xml:space="preserve"> from FDIC Statistics</w:t>
      </w:r>
      <w:r w:rsidR="006C2B23">
        <w:rPr>
          <w:rFonts w:cs="Times New Roman"/>
          <w:b/>
          <w:bCs/>
          <w:sz w:val="28"/>
          <w:szCs w:val="28"/>
        </w:rPr>
        <w:br/>
      </w:r>
      <w:r w:rsidR="00C96BA1">
        <w:rPr>
          <w:rFonts w:cs="Times New Roman"/>
          <w:b/>
          <w:bCs/>
          <w:sz w:val="28"/>
          <w:szCs w:val="28"/>
        </w:rPr>
        <w:t>on Depository Institutions</w:t>
      </w:r>
      <w:r w:rsidR="006C2B23">
        <w:rPr>
          <w:rFonts w:cs="Times New Roman"/>
          <w:b/>
          <w:bCs/>
          <w:sz w:val="28"/>
          <w:szCs w:val="28"/>
        </w:rPr>
        <w:t xml:space="preserve"> </w:t>
      </w:r>
      <w:r w:rsidR="00F612A4">
        <w:rPr>
          <w:rFonts w:cs="Times New Roman"/>
          <w:b/>
          <w:bCs/>
          <w:sz w:val="28"/>
          <w:szCs w:val="28"/>
        </w:rPr>
        <w:t>U</w:t>
      </w:r>
      <w:bookmarkStart w:id="0" w:name="_GoBack"/>
      <w:bookmarkEnd w:id="0"/>
      <w:r w:rsidR="006C2B23">
        <w:rPr>
          <w:rFonts w:cs="Times New Roman"/>
          <w:b/>
          <w:bCs/>
          <w:sz w:val="28"/>
          <w:szCs w:val="28"/>
        </w:rPr>
        <w:t>sing Deep Learning</w:t>
      </w:r>
    </w:p>
    <w:p w14:paraId="6BD1FD05" w14:textId="6F97DF27" w:rsidR="0030390A" w:rsidRDefault="00493291" w:rsidP="0030390A">
      <w:pPr>
        <w:jc w:val="center"/>
        <w:rPr>
          <w:sz w:val="20"/>
          <w:szCs w:val="20"/>
          <w:lang w:val="fr-FR"/>
        </w:rPr>
      </w:pPr>
      <w:r>
        <w:rPr>
          <w:sz w:val="20"/>
          <w:szCs w:val="20"/>
          <w:lang w:val="fr-FR"/>
        </w:rPr>
        <w:t xml:space="preserve">   </w:t>
      </w:r>
    </w:p>
    <w:p w14:paraId="71E4A784" w14:textId="2DE37F2C" w:rsidR="0030390A" w:rsidRDefault="00493291" w:rsidP="0030390A">
      <w:pPr>
        <w:jc w:val="center"/>
        <w:rPr>
          <w:sz w:val="20"/>
          <w:szCs w:val="20"/>
          <w:lang w:val="fr-FR"/>
        </w:rPr>
      </w:pPr>
      <w:r>
        <w:rPr>
          <w:sz w:val="20"/>
          <w:szCs w:val="20"/>
          <w:lang w:val="fr-FR"/>
        </w:rPr>
        <w:t xml:space="preserve">   </w:t>
      </w:r>
    </w:p>
    <w:p w14:paraId="6BFB7926" w14:textId="21CAB300" w:rsidR="00AC7A82" w:rsidRPr="0030390A" w:rsidRDefault="00493291" w:rsidP="0030390A">
      <w:pPr>
        <w:spacing w:after="360"/>
        <w:jc w:val="center"/>
        <w:rPr>
          <w:sz w:val="20"/>
          <w:szCs w:val="20"/>
          <w:lang w:val="fr-FR"/>
        </w:rPr>
        <w:sectPr w:rsidR="00AC7A82" w:rsidRPr="0030390A" w:rsidSect="00C71EBB">
          <w:headerReference w:type="even" r:id="rId8"/>
          <w:headerReference w:type="default" r:id="rId9"/>
          <w:footerReference w:type="even" r:id="rId10"/>
          <w:footerReference w:type="default" r:id="rId11"/>
          <w:headerReference w:type="first" r:id="rId12"/>
          <w:footerReference w:type="first" r:id="rId13"/>
          <w:pgSz w:w="12240" w:h="15840" w:code="1"/>
          <w:pgMar w:top="1979" w:right="1440" w:bottom="1622" w:left="1440" w:header="720" w:footer="720" w:gutter="0"/>
          <w:cols w:space="720"/>
          <w:docGrid w:linePitch="360"/>
        </w:sectPr>
      </w:pPr>
      <w:r>
        <w:rPr>
          <w:sz w:val="20"/>
          <w:szCs w:val="20"/>
          <w:lang w:val="fr-FR"/>
        </w:rPr>
        <w:t xml:space="preserve">   </w:t>
      </w:r>
    </w:p>
    <w:p w14:paraId="29638CEF" w14:textId="77777777" w:rsidR="004A56F4" w:rsidRPr="00F82481" w:rsidRDefault="004A56F4" w:rsidP="00F82481">
      <w:pPr>
        <w:spacing w:after="240"/>
        <w:jc w:val="center"/>
        <w:rPr>
          <w:rFonts w:ascii="Times" w:hAnsi="Times"/>
          <w:i/>
        </w:rPr>
      </w:pPr>
      <w:r w:rsidRPr="00D46359">
        <w:rPr>
          <w:b/>
        </w:rPr>
        <w:t>Abstract</w:t>
      </w:r>
    </w:p>
    <w:p w14:paraId="6B22767A" w14:textId="72B15832" w:rsidR="00E60D5A" w:rsidRPr="009E3A8F" w:rsidRDefault="004A56F4" w:rsidP="00E60D5A">
      <w:pPr>
        <w:spacing w:after="480"/>
        <w:ind w:firstLine="274"/>
        <w:jc w:val="both"/>
        <w:rPr>
          <w:rFonts w:ascii="Times" w:hAnsi="Times"/>
          <w:i/>
          <w:sz w:val="20"/>
          <w:szCs w:val="20"/>
        </w:rPr>
      </w:pPr>
      <w:r w:rsidRPr="004A56F4">
        <w:rPr>
          <w:rFonts w:ascii="Times" w:hAnsi="Times"/>
          <w:i/>
          <w:sz w:val="20"/>
          <w:szCs w:val="20"/>
        </w:rPr>
        <w:t>The Federal Deposit Insurance Corporation (FDIC) keeps record</w:t>
      </w:r>
      <w:r w:rsidR="004B5580">
        <w:rPr>
          <w:rFonts w:ascii="Times" w:hAnsi="Times"/>
          <w:i/>
          <w:sz w:val="20"/>
          <w:szCs w:val="20"/>
        </w:rPr>
        <w:t>s</w:t>
      </w:r>
      <w:r w:rsidRPr="004A56F4">
        <w:rPr>
          <w:rFonts w:ascii="Times" w:hAnsi="Times"/>
          <w:i/>
          <w:sz w:val="20"/>
          <w:szCs w:val="20"/>
        </w:rPr>
        <w:t xml:space="preserve"> of banking data in its Statistics on Depository Institutions (SDI)</w:t>
      </w:r>
      <w:r w:rsidR="00132920">
        <w:rPr>
          <w:rFonts w:ascii="Times" w:hAnsi="Times"/>
          <w:i/>
          <w:sz w:val="20"/>
          <w:szCs w:val="20"/>
        </w:rPr>
        <w:t xml:space="preserve"> </w:t>
      </w:r>
      <w:r>
        <w:rPr>
          <w:rFonts w:ascii="Times" w:hAnsi="Times"/>
          <w:i/>
          <w:sz w:val="20"/>
          <w:szCs w:val="20"/>
        </w:rPr>
        <w:t xml:space="preserve">going back to the fourth quarter of 1992. </w:t>
      </w:r>
      <w:r w:rsidR="00F82481">
        <w:rPr>
          <w:rFonts w:ascii="Times" w:hAnsi="Times"/>
          <w:i/>
          <w:sz w:val="20"/>
          <w:szCs w:val="20"/>
        </w:rPr>
        <w:t xml:space="preserve">The data </w:t>
      </w:r>
      <w:r w:rsidR="001F08F2">
        <w:rPr>
          <w:rFonts w:ascii="Times" w:hAnsi="Times"/>
          <w:i/>
          <w:sz w:val="20"/>
          <w:szCs w:val="20"/>
        </w:rPr>
        <w:t>are</w:t>
      </w:r>
      <w:r w:rsidR="00EF189D">
        <w:rPr>
          <w:rFonts w:ascii="Times" w:hAnsi="Times"/>
          <w:i/>
          <w:sz w:val="20"/>
          <w:szCs w:val="20"/>
        </w:rPr>
        <w:t xml:space="preserve"> reported quarterly </w:t>
      </w:r>
      <w:r w:rsidR="00830DF5">
        <w:rPr>
          <w:rFonts w:ascii="Times" w:hAnsi="Times"/>
          <w:i/>
          <w:sz w:val="20"/>
          <w:szCs w:val="20"/>
        </w:rPr>
        <w:t xml:space="preserve">on </w:t>
      </w:r>
      <w:r w:rsidR="00EF189D">
        <w:rPr>
          <w:rFonts w:ascii="Times" w:hAnsi="Times"/>
          <w:i/>
          <w:sz w:val="20"/>
          <w:szCs w:val="20"/>
        </w:rPr>
        <w:t xml:space="preserve">approximately 1,050 </w:t>
      </w:r>
      <w:r w:rsidR="00AD7AC5">
        <w:rPr>
          <w:rFonts w:ascii="Times" w:hAnsi="Times"/>
          <w:i/>
          <w:sz w:val="20"/>
          <w:szCs w:val="20"/>
        </w:rPr>
        <w:t xml:space="preserve">variables, such as total assets, liabilities, and </w:t>
      </w:r>
      <w:r w:rsidR="003F7038">
        <w:rPr>
          <w:rFonts w:ascii="Times" w:hAnsi="Times"/>
          <w:i/>
          <w:sz w:val="20"/>
          <w:szCs w:val="20"/>
        </w:rPr>
        <w:t>deposits</w:t>
      </w:r>
      <w:r w:rsidR="00AD7AC5">
        <w:rPr>
          <w:rFonts w:ascii="Times" w:hAnsi="Times"/>
          <w:i/>
          <w:sz w:val="20"/>
          <w:szCs w:val="20"/>
        </w:rPr>
        <w:t xml:space="preserve">. </w:t>
      </w:r>
      <w:r w:rsidR="00EF189D">
        <w:rPr>
          <w:rFonts w:ascii="Times" w:hAnsi="Times"/>
          <w:i/>
          <w:sz w:val="20"/>
          <w:szCs w:val="20"/>
        </w:rPr>
        <w:t>We h</w:t>
      </w:r>
      <w:r w:rsidR="001F08F2">
        <w:rPr>
          <w:rFonts w:ascii="Times" w:hAnsi="Times"/>
          <w:i/>
          <w:sz w:val="20"/>
          <w:szCs w:val="20"/>
        </w:rPr>
        <w:t>ypothesiz</w:t>
      </w:r>
      <w:r w:rsidR="00EF189D">
        <w:rPr>
          <w:rFonts w:ascii="Times" w:hAnsi="Times"/>
          <w:i/>
          <w:sz w:val="20"/>
          <w:szCs w:val="20"/>
        </w:rPr>
        <w:t xml:space="preserve">ed </w:t>
      </w:r>
      <w:r w:rsidR="001F08F2">
        <w:rPr>
          <w:rFonts w:ascii="Times" w:hAnsi="Times"/>
          <w:i/>
          <w:sz w:val="20"/>
          <w:szCs w:val="20"/>
        </w:rPr>
        <w:t xml:space="preserve">that </w:t>
      </w:r>
      <w:r w:rsidR="00EF189D">
        <w:rPr>
          <w:rFonts w:ascii="Times" w:hAnsi="Times"/>
          <w:i/>
          <w:sz w:val="20"/>
          <w:szCs w:val="20"/>
        </w:rPr>
        <w:t>impending fail</w:t>
      </w:r>
      <w:r w:rsidR="009F0B0A">
        <w:rPr>
          <w:rFonts w:ascii="Times" w:hAnsi="Times"/>
          <w:i/>
          <w:sz w:val="20"/>
          <w:szCs w:val="20"/>
        </w:rPr>
        <w:t>ure could be predicted from these</w:t>
      </w:r>
      <w:r w:rsidR="00EF189D">
        <w:rPr>
          <w:rFonts w:ascii="Times" w:hAnsi="Times"/>
          <w:i/>
          <w:sz w:val="20"/>
          <w:szCs w:val="20"/>
        </w:rPr>
        <w:t xml:space="preserve"> data. We restricted the database to 60 </w:t>
      </w:r>
      <w:r w:rsidR="00D8656B">
        <w:rPr>
          <w:rFonts w:ascii="Times" w:hAnsi="Times"/>
          <w:i/>
          <w:sz w:val="20"/>
          <w:szCs w:val="20"/>
        </w:rPr>
        <w:t>quantitative</w:t>
      </w:r>
      <w:r w:rsidR="00EF189D">
        <w:rPr>
          <w:rFonts w:ascii="Times" w:hAnsi="Times"/>
          <w:i/>
          <w:sz w:val="20"/>
          <w:szCs w:val="20"/>
        </w:rPr>
        <w:t xml:space="preserve"> variables that had no missing data for any bank in any quarter during the epoch unde</w:t>
      </w:r>
      <w:r w:rsidR="00C67406">
        <w:rPr>
          <w:rFonts w:ascii="Times" w:hAnsi="Times"/>
          <w:i/>
          <w:sz w:val="20"/>
          <w:szCs w:val="20"/>
        </w:rPr>
        <w:t xml:space="preserve">r consideration: 2000Q1-2017Q2. </w:t>
      </w:r>
      <w:r w:rsidR="00EF189D">
        <w:rPr>
          <w:rFonts w:ascii="Times" w:hAnsi="Times"/>
          <w:i/>
          <w:sz w:val="20"/>
          <w:szCs w:val="20"/>
        </w:rPr>
        <w:t>D</w:t>
      </w:r>
      <w:r w:rsidR="00F82481">
        <w:rPr>
          <w:rFonts w:ascii="Times" w:hAnsi="Times"/>
          <w:i/>
          <w:sz w:val="20"/>
          <w:szCs w:val="20"/>
        </w:rPr>
        <w:t>eep learning approaches based on m</w:t>
      </w:r>
      <w:r>
        <w:rPr>
          <w:rFonts w:ascii="Times" w:hAnsi="Times"/>
          <w:i/>
          <w:sz w:val="20"/>
          <w:szCs w:val="20"/>
        </w:rPr>
        <w:t>ultilayer perceptron</w:t>
      </w:r>
      <w:r w:rsidR="00F82481">
        <w:rPr>
          <w:rFonts w:ascii="Times" w:hAnsi="Times"/>
          <w:i/>
          <w:sz w:val="20"/>
          <w:szCs w:val="20"/>
        </w:rPr>
        <w:t>s a</w:t>
      </w:r>
      <w:r>
        <w:rPr>
          <w:rFonts w:ascii="Times" w:hAnsi="Times"/>
          <w:i/>
          <w:sz w:val="20"/>
          <w:szCs w:val="20"/>
        </w:rPr>
        <w:t>nd convolutional neural network</w:t>
      </w:r>
      <w:r w:rsidR="00F82481">
        <w:rPr>
          <w:rFonts w:ascii="Times" w:hAnsi="Times"/>
          <w:i/>
          <w:sz w:val="20"/>
          <w:szCs w:val="20"/>
        </w:rPr>
        <w:t xml:space="preserve">s were evaluated and failed </w:t>
      </w:r>
      <w:r>
        <w:rPr>
          <w:rFonts w:ascii="Times" w:hAnsi="Times"/>
          <w:i/>
          <w:sz w:val="20"/>
          <w:szCs w:val="20"/>
        </w:rPr>
        <w:t xml:space="preserve">to </w:t>
      </w:r>
      <w:r w:rsidR="00F82481">
        <w:rPr>
          <w:rFonts w:ascii="Times" w:hAnsi="Times"/>
          <w:i/>
          <w:sz w:val="20"/>
          <w:szCs w:val="20"/>
        </w:rPr>
        <w:t xml:space="preserve">accurately predict </w:t>
      </w:r>
      <w:r w:rsidR="001F08F2">
        <w:rPr>
          <w:rFonts w:ascii="Times" w:hAnsi="Times"/>
          <w:i/>
          <w:sz w:val="20"/>
          <w:szCs w:val="20"/>
        </w:rPr>
        <w:t>failures</w:t>
      </w:r>
      <w:r w:rsidR="00F82481">
        <w:rPr>
          <w:rFonts w:ascii="Times" w:hAnsi="Times"/>
          <w:i/>
          <w:sz w:val="20"/>
          <w:szCs w:val="20"/>
        </w:rPr>
        <w:t xml:space="preserve"> better</w:t>
      </w:r>
      <w:r w:rsidR="00EF189D">
        <w:rPr>
          <w:rFonts w:ascii="Times" w:hAnsi="Times"/>
          <w:i/>
          <w:sz w:val="20"/>
          <w:szCs w:val="20"/>
        </w:rPr>
        <w:t xml:space="preserve"> than guessing based on priors. </w:t>
      </w:r>
      <w:r w:rsidR="00F82481">
        <w:rPr>
          <w:rFonts w:ascii="Times" w:hAnsi="Times"/>
          <w:i/>
          <w:sz w:val="20"/>
          <w:szCs w:val="20"/>
        </w:rPr>
        <w:t>These baseline experiments</w:t>
      </w:r>
      <w:r w:rsidR="009F0B0A">
        <w:rPr>
          <w:rFonts w:ascii="Times" w:hAnsi="Times"/>
          <w:i/>
          <w:sz w:val="20"/>
          <w:szCs w:val="20"/>
        </w:rPr>
        <w:t>, particularly the</w:t>
      </w:r>
      <w:r w:rsidR="00290163">
        <w:rPr>
          <w:rFonts w:ascii="Times" w:hAnsi="Times"/>
          <w:i/>
          <w:sz w:val="20"/>
          <w:szCs w:val="20"/>
        </w:rPr>
        <w:t xml:space="preserve"> inability </w:t>
      </w:r>
      <w:r w:rsidR="009C7302">
        <w:rPr>
          <w:rFonts w:ascii="Times" w:hAnsi="Times"/>
          <w:i/>
          <w:sz w:val="20"/>
          <w:szCs w:val="20"/>
        </w:rPr>
        <w:t xml:space="preserve">to overfit to the </w:t>
      </w:r>
      <w:r w:rsidR="001E70A0">
        <w:rPr>
          <w:rFonts w:ascii="Times" w:hAnsi="Times"/>
          <w:i/>
          <w:sz w:val="20"/>
          <w:szCs w:val="20"/>
        </w:rPr>
        <w:t>t</w:t>
      </w:r>
      <w:r w:rsidR="0029464F">
        <w:rPr>
          <w:rFonts w:ascii="Times" w:hAnsi="Times"/>
          <w:i/>
          <w:sz w:val="20"/>
          <w:szCs w:val="20"/>
        </w:rPr>
        <w:t>raining</w:t>
      </w:r>
      <w:r w:rsidR="009C7302">
        <w:rPr>
          <w:rFonts w:ascii="Times" w:hAnsi="Times"/>
          <w:i/>
          <w:sz w:val="20"/>
          <w:szCs w:val="20"/>
        </w:rPr>
        <w:t xml:space="preserve"> data, show the challenges of finding </w:t>
      </w:r>
      <w:r w:rsidR="002109FC">
        <w:rPr>
          <w:rFonts w:ascii="Times" w:hAnsi="Times"/>
          <w:i/>
          <w:sz w:val="20"/>
          <w:szCs w:val="20"/>
        </w:rPr>
        <w:t>failure-predicting</w:t>
      </w:r>
      <w:r w:rsidR="009C7302">
        <w:rPr>
          <w:rFonts w:ascii="Times" w:hAnsi="Times"/>
          <w:i/>
          <w:sz w:val="20"/>
          <w:szCs w:val="20"/>
        </w:rPr>
        <w:t xml:space="preserve"> trends that are</w:t>
      </w:r>
      <w:r w:rsidR="002109FC">
        <w:rPr>
          <w:rFonts w:ascii="Times" w:hAnsi="Times"/>
          <w:i/>
          <w:sz w:val="20"/>
          <w:szCs w:val="20"/>
        </w:rPr>
        <w:t xml:space="preserve"> strictly</w:t>
      </w:r>
      <w:r w:rsidR="009F0B0A">
        <w:rPr>
          <w:rFonts w:ascii="Times" w:hAnsi="Times"/>
          <w:i/>
          <w:sz w:val="20"/>
          <w:szCs w:val="20"/>
        </w:rPr>
        <w:t xml:space="preserve"> </w:t>
      </w:r>
      <w:r w:rsidR="0098511C">
        <w:rPr>
          <w:rFonts w:ascii="Times" w:hAnsi="Times"/>
          <w:i/>
          <w:sz w:val="20"/>
          <w:szCs w:val="20"/>
        </w:rPr>
        <w:t>intrinsic</w:t>
      </w:r>
      <w:r w:rsidR="009F0B0A">
        <w:rPr>
          <w:rFonts w:ascii="Times" w:hAnsi="Times"/>
          <w:i/>
          <w:sz w:val="20"/>
          <w:szCs w:val="20"/>
        </w:rPr>
        <w:t xml:space="preserve"> to a</w:t>
      </w:r>
      <w:r w:rsidR="009C7302">
        <w:rPr>
          <w:rFonts w:ascii="Times" w:hAnsi="Times"/>
          <w:i/>
          <w:sz w:val="20"/>
          <w:szCs w:val="20"/>
        </w:rPr>
        <w:t xml:space="preserve"> bank</w:t>
      </w:r>
      <w:r w:rsidR="002109FC">
        <w:rPr>
          <w:rFonts w:ascii="Times" w:hAnsi="Times"/>
          <w:i/>
          <w:sz w:val="20"/>
          <w:szCs w:val="20"/>
        </w:rPr>
        <w:t>.</w:t>
      </w:r>
      <w:r w:rsidR="009C7302">
        <w:rPr>
          <w:rFonts w:ascii="Times" w:hAnsi="Times"/>
          <w:i/>
          <w:sz w:val="20"/>
          <w:szCs w:val="20"/>
        </w:rPr>
        <w:t xml:space="preserve"> </w:t>
      </w:r>
      <w:r w:rsidR="00764571">
        <w:rPr>
          <w:rFonts w:ascii="Times" w:hAnsi="Times"/>
          <w:i/>
          <w:sz w:val="20"/>
          <w:szCs w:val="20"/>
        </w:rPr>
        <w:t xml:space="preserve">Future </w:t>
      </w:r>
      <w:r w:rsidR="0001432E">
        <w:rPr>
          <w:rFonts w:ascii="Times" w:hAnsi="Times"/>
          <w:i/>
          <w:sz w:val="20"/>
          <w:szCs w:val="20"/>
        </w:rPr>
        <w:t xml:space="preserve">deep learning </w:t>
      </w:r>
      <w:r w:rsidR="00764571">
        <w:rPr>
          <w:rFonts w:ascii="Times" w:hAnsi="Times"/>
          <w:i/>
          <w:sz w:val="20"/>
          <w:szCs w:val="20"/>
        </w:rPr>
        <w:t>work would have to include exogenous factors</w:t>
      </w:r>
      <w:r w:rsidR="00AD7AC5">
        <w:rPr>
          <w:rFonts w:ascii="Times" w:hAnsi="Times"/>
          <w:i/>
          <w:sz w:val="20"/>
          <w:szCs w:val="20"/>
        </w:rPr>
        <w:t xml:space="preserve"> to link quarterly observations between banks</w:t>
      </w:r>
      <w:r w:rsidR="00F64CF7">
        <w:rPr>
          <w:rFonts w:ascii="Times" w:hAnsi="Times"/>
          <w:i/>
          <w:sz w:val="20"/>
          <w:szCs w:val="20"/>
        </w:rPr>
        <w:t>.</w:t>
      </w:r>
    </w:p>
    <w:p w14:paraId="2428155E" w14:textId="77777777" w:rsidR="004A56F4" w:rsidRPr="00222B78" w:rsidRDefault="00F82481" w:rsidP="0014014B">
      <w:pPr>
        <w:pStyle w:val="ListParagraph"/>
        <w:numPr>
          <w:ilvl w:val="0"/>
          <w:numId w:val="11"/>
        </w:numPr>
        <w:spacing w:before="240" w:after="240"/>
        <w:ind w:left="360"/>
        <w:contextualSpacing w:val="0"/>
        <w:rPr>
          <w:b/>
        </w:rPr>
      </w:pPr>
      <w:r w:rsidRPr="00222B78">
        <w:rPr>
          <w:b/>
        </w:rPr>
        <w:t>Introduction</w:t>
      </w:r>
    </w:p>
    <w:p w14:paraId="30C8721E" w14:textId="225973C0" w:rsidR="00F80986" w:rsidRDefault="005B1AC3" w:rsidP="00EB710F">
      <w:pPr>
        <w:ind w:firstLine="360"/>
        <w:contextualSpacing/>
        <w:jc w:val="both"/>
        <w:rPr>
          <w:sz w:val="20"/>
          <w:szCs w:val="20"/>
        </w:rPr>
      </w:pPr>
      <w:r>
        <w:rPr>
          <w:noProof/>
          <w:sz w:val="20"/>
          <w:szCs w:val="20"/>
        </w:rPr>
        <mc:AlternateContent>
          <mc:Choice Requires="wps">
            <w:drawing>
              <wp:anchor distT="137160" distB="0" distL="0" distR="0" simplePos="0" relativeHeight="251659264" behindDoc="0" locked="0" layoutInCell="1" allowOverlap="1" wp14:anchorId="570970F0" wp14:editId="203E9CD4">
                <wp:simplePos x="0" y="0"/>
                <wp:positionH relativeFrom="margin">
                  <wp:posOffset>3138170</wp:posOffset>
                </wp:positionH>
                <wp:positionV relativeFrom="margin">
                  <wp:posOffset>6014085</wp:posOffset>
                </wp:positionV>
                <wp:extent cx="2806700" cy="1752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06700" cy="1752600"/>
                        </a:xfrm>
                        <a:prstGeom prst="rect">
                          <a:avLst/>
                        </a:prstGeom>
                        <a:solidFill>
                          <a:schemeClr val="lt1"/>
                        </a:solidFill>
                        <a:ln w="6350">
                          <a:noFill/>
                        </a:ln>
                      </wps:spPr>
                      <wps:txbx>
                        <w:txbxContent>
                          <w:p w14:paraId="6B0DA4A2" w14:textId="77777777" w:rsidR="001525ED" w:rsidRDefault="00E60D5A" w:rsidP="005B1AC3">
                            <w:pPr>
                              <w:jc w:val="center"/>
                            </w:pPr>
                            <w:r>
                              <w:rPr>
                                <w:noProof/>
                                <w:sz w:val="20"/>
                                <w:szCs w:val="20"/>
                              </w:rPr>
                              <w:drawing>
                                <wp:inline distT="0" distB="0" distL="0" distR="0" wp14:anchorId="2512AF21" wp14:editId="58D55409">
                                  <wp:extent cx="2511425" cy="1219200"/>
                                  <wp:effectExtent l="0" t="0" r="3175" b="0"/>
                                  <wp:docPr id="3" name="Picture 3" descr="C:\Users\Dave\Documents\MyOldDellDocuments\DaveDocs on Dbj\Graduate School\Temple MS in Statistics\Picone Lab (Grad School)\Interface With Finance\My Papers\CNN So Far\bank_failures_by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MyOldDellDocuments\DaveDocs on Dbj\Graduate School\Temple MS in Statistics\Picone Lab (Grad School)\Interface With Finance\My Papers\CNN So Far\bank_failures_by_yea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522" cy="1223131"/>
                                          </a:xfrm>
                                          <a:prstGeom prst="rect">
                                            <a:avLst/>
                                          </a:prstGeom>
                                          <a:noFill/>
                                          <a:ln>
                                            <a:noFill/>
                                          </a:ln>
                                        </pic:spPr>
                                      </pic:pic>
                                    </a:graphicData>
                                  </a:graphic>
                                </wp:inline>
                              </w:drawing>
                            </w:r>
                            <w:r w:rsidRPr="00E60D5A">
                              <w:rPr>
                                <w:noProof/>
                                <w:sz w:val="20"/>
                                <w:szCs w:val="20"/>
                              </w:rPr>
                              <w:t xml:space="preserve"> </w:t>
                            </w:r>
                          </w:p>
                          <w:p w14:paraId="6E6CF680" w14:textId="3C622B80" w:rsidR="00237BD7" w:rsidRDefault="001525ED" w:rsidP="00237BD7">
                            <w:pPr>
                              <w:pStyle w:val="Caption"/>
                              <w:spacing w:before="120" w:after="0"/>
                              <w:jc w:val="both"/>
                            </w:pPr>
                            <w:bookmarkStart w:id="1" w:name="_Ref512154327"/>
                            <w:r w:rsidRPr="005B1AC3">
                              <w:rPr>
                                <w:rFonts w:ascii="Arial" w:hAnsi="Arial" w:cs="Arial"/>
                                <w:b/>
                                <w:i w:val="0"/>
                                <w:color w:val="000000" w:themeColor="text1"/>
                                <w:sz w:val="20"/>
                                <w:szCs w:val="20"/>
                              </w:rPr>
                              <w:t>Figure</w:t>
                            </w:r>
                            <w:r w:rsidR="00023E6B">
                              <w:rPr>
                                <w:rFonts w:ascii="Arial" w:hAnsi="Arial" w:cs="Arial"/>
                                <w:b/>
                                <w:i w:val="0"/>
                                <w:color w:val="000000" w:themeColor="text1"/>
                                <w:sz w:val="20"/>
                                <w:szCs w:val="20"/>
                              </w:rPr>
                              <w:t> </w:t>
                            </w:r>
                            <w:r w:rsidRPr="005B1AC3">
                              <w:rPr>
                                <w:rFonts w:ascii="Arial" w:hAnsi="Arial" w:cs="Arial"/>
                                <w:b/>
                                <w:i w:val="0"/>
                                <w:color w:val="000000" w:themeColor="text1"/>
                                <w:sz w:val="20"/>
                                <w:szCs w:val="20"/>
                              </w:rPr>
                              <w:fldChar w:fldCharType="begin"/>
                            </w:r>
                            <w:r w:rsidRPr="005B1AC3">
                              <w:rPr>
                                <w:rFonts w:ascii="Arial" w:hAnsi="Arial" w:cs="Arial"/>
                                <w:b/>
                                <w:i w:val="0"/>
                                <w:color w:val="000000" w:themeColor="text1"/>
                                <w:sz w:val="20"/>
                                <w:szCs w:val="20"/>
                              </w:rPr>
                              <w:instrText xml:space="preserve"> SEQ Figure \* ARABIC </w:instrText>
                            </w:r>
                            <w:r w:rsidRPr="005B1AC3">
                              <w:rPr>
                                <w:rFonts w:ascii="Arial" w:hAnsi="Arial" w:cs="Arial"/>
                                <w:b/>
                                <w:i w:val="0"/>
                                <w:color w:val="000000" w:themeColor="text1"/>
                                <w:sz w:val="20"/>
                                <w:szCs w:val="20"/>
                              </w:rPr>
                              <w:fldChar w:fldCharType="separate"/>
                            </w:r>
                            <w:r w:rsidR="00BB7995">
                              <w:rPr>
                                <w:rFonts w:ascii="Arial" w:hAnsi="Arial" w:cs="Arial"/>
                                <w:b/>
                                <w:i w:val="0"/>
                                <w:noProof/>
                                <w:color w:val="000000" w:themeColor="text1"/>
                                <w:sz w:val="20"/>
                                <w:szCs w:val="20"/>
                              </w:rPr>
                              <w:t>1</w:t>
                            </w:r>
                            <w:r w:rsidRPr="005B1AC3">
                              <w:rPr>
                                <w:rFonts w:ascii="Arial" w:hAnsi="Arial" w:cs="Arial"/>
                                <w:b/>
                                <w:i w:val="0"/>
                                <w:color w:val="000000" w:themeColor="text1"/>
                                <w:sz w:val="20"/>
                                <w:szCs w:val="20"/>
                              </w:rPr>
                              <w:fldChar w:fldCharType="end"/>
                            </w:r>
                            <w:bookmarkEnd w:id="1"/>
                            <w:r w:rsidR="005B1AC3">
                              <w:rPr>
                                <w:rFonts w:ascii="Arial" w:hAnsi="Arial" w:cs="Arial"/>
                                <w:b/>
                                <w:i w:val="0"/>
                                <w:color w:val="000000" w:themeColor="text1"/>
                                <w:sz w:val="20"/>
                                <w:szCs w:val="20"/>
                              </w:rPr>
                              <w:t>. </w:t>
                            </w:r>
                            <w:r w:rsidR="00237BD7">
                              <w:rPr>
                                <w:rFonts w:ascii="Arial" w:hAnsi="Arial" w:cs="Arial"/>
                                <w:b/>
                                <w:i w:val="0"/>
                                <w:color w:val="000000" w:themeColor="text1"/>
                                <w:sz w:val="20"/>
                                <w:szCs w:val="20"/>
                              </w:rPr>
                              <w:t>US Bank failures spiked in 20</w:t>
                            </w:r>
                            <w:r w:rsidR="00F24BB4">
                              <w:rPr>
                                <w:rFonts w:ascii="Arial" w:hAnsi="Arial" w:cs="Arial"/>
                                <w:b/>
                                <w:i w:val="0"/>
                                <w:color w:val="000000" w:themeColor="text1"/>
                                <w:sz w:val="20"/>
                                <w:szCs w:val="20"/>
                              </w:rPr>
                              <w:t>09</w:t>
                            </w:r>
                            <w:r w:rsidR="00237BD7">
                              <w:rPr>
                                <w:rFonts w:ascii="Arial" w:hAnsi="Arial" w:cs="Arial"/>
                                <w:b/>
                                <w:i w:val="0"/>
                                <w:color w:val="000000" w:themeColor="text1"/>
                                <w:sz w:val="20"/>
                                <w:szCs w:val="20"/>
                              </w:rPr>
                              <w:t>, in the wake of the Global Financial Crisis</w:t>
                            </w:r>
                            <w:r w:rsidR="00F24BB4">
                              <w:rPr>
                                <w:rFonts w:ascii="Arial" w:hAnsi="Arial" w:cs="Arial"/>
                                <w:b/>
                                <w:i w:val="0"/>
                                <w:color w:val="000000" w:themeColor="text1"/>
                                <w:sz w:val="20"/>
                                <w:szCs w:val="20"/>
                              </w:rPr>
                              <w:t>, peaking in 2010 at 157</w:t>
                            </w:r>
                          </w:p>
                          <w:p w14:paraId="0571BE23" w14:textId="623D8D92" w:rsidR="001525ED" w:rsidRDefault="001525ED" w:rsidP="00151EB7">
                            <w:pPr>
                              <w:pStyle w:val="Caption"/>
                              <w:spacing w:before="120" w:after="0"/>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970F0" id="_x0000_t202" coordsize="21600,21600" o:spt="202" path="m,l,21600r21600,l21600,xe">
                <v:stroke joinstyle="miter"/>
                <v:path gradientshapeok="t" o:connecttype="rect"/>
              </v:shapetype>
              <v:shape id="Text Box 5" o:spid="_x0000_s1026" type="#_x0000_t202" style="position:absolute;left:0;text-align:left;margin-left:247.1pt;margin-top:473.55pt;width:221pt;height:138pt;z-index:251659264;visibility:visible;mso-wrap-style:square;mso-width-percent:0;mso-height-percent:0;mso-wrap-distance-left:0;mso-wrap-distance-top:10.8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" fillcolor="white [3201]" stroked="f" strokeweight=".5pt">
                <v:textbox inset="0,0,0,0">
                  <w:txbxContent>
                    <w:p w14:paraId="6B0DA4A2" w14:textId="77777777" w:rsidR="001525ED" w:rsidRDefault="00E60D5A" w:rsidP="005B1AC3">
                      <w:pPr>
                        <w:jc w:val="center"/>
                      </w:pPr>
                      <w:r>
                        <w:rPr>
                          <w:noProof/>
                          <w:sz w:val="20"/>
                          <w:szCs w:val="20"/>
                        </w:rPr>
                        <w:drawing>
                          <wp:inline distT="0" distB="0" distL="0" distR="0" wp14:anchorId="2512AF21" wp14:editId="58D55409">
                            <wp:extent cx="2511425" cy="1219200"/>
                            <wp:effectExtent l="0" t="0" r="3175" b="0"/>
                            <wp:docPr id="3" name="Picture 3" descr="C:\Users\Dave\Documents\MyOldDellDocuments\DaveDocs on Dbj\Graduate School\Temple MS in Statistics\Picone Lab (Grad School)\Interface With Finance\My Papers\CNN So Far\bank_failures_by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MyOldDellDocuments\DaveDocs on Dbj\Graduate School\Temple MS in Statistics\Picone Lab (Grad School)\Interface With Finance\My Papers\CNN So Far\bank_failures_by_yea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9522" cy="1223131"/>
                                    </a:xfrm>
                                    <a:prstGeom prst="rect">
                                      <a:avLst/>
                                    </a:prstGeom>
                                    <a:noFill/>
                                    <a:ln>
                                      <a:noFill/>
                                    </a:ln>
                                  </pic:spPr>
                                </pic:pic>
                              </a:graphicData>
                            </a:graphic>
                          </wp:inline>
                        </w:drawing>
                      </w:r>
                      <w:r w:rsidRPr="00E60D5A">
                        <w:rPr>
                          <w:noProof/>
                          <w:sz w:val="20"/>
                          <w:szCs w:val="20"/>
                        </w:rPr>
                        <w:t xml:space="preserve"> </w:t>
                      </w:r>
                    </w:p>
                    <w:p w14:paraId="6E6CF680" w14:textId="3C622B80" w:rsidR="00237BD7" w:rsidRDefault="001525ED" w:rsidP="00237BD7">
                      <w:pPr>
                        <w:pStyle w:val="Caption"/>
                        <w:spacing w:before="120" w:after="0"/>
                        <w:jc w:val="both"/>
                      </w:pPr>
                      <w:bookmarkStart w:id="1" w:name="_Ref512154327"/>
                      <w:r w:rsidRPr="005B1AC3">
                        <w:rPr>
                          <w:rFonts w:ascii="Arial" w:hAnsi="Arial" w:cs="Arial"/>
                          <w:b/>
                          <w:i w:val="0"/>
                          <w:color w:val="000000" w:themeColor="text1"/>
                          <w:sz w:val="20"/>
                          <w:szCs w:val="20"/>
                        </w:rPr>
                        <w:t>Figure</w:t>
                      </w:r>
                      <w:r w:rsidR="00023E6B">
                        <w:rPr>
                          <w:rFonts w:ascii="Arial" w:hAnsi="Arial" w:cs="Arial"/>
                          <w:b/>
                          <w:i w:val="0"/>
                          <w:color w:val="000000" w:themeColor="text1"/>
                          <w:sz w:val="20"/>
                          <w:szCs w:val="20"/>
                        </w:rPr>
                        <w:t> </w:t>
                      </w:r>
                      <w:r w:rsidRPr="005B1AC3">
                        <w:rPr>
                          <w:rFonts w:ascii="Arial" w:hAnsi="Arial" w:cs="Arial"/>
                          <w:b/>
                          <w:i w:val="0"/>
                          <w:color w:val="000000" w:themeColor="text1"/>
                          <w:sz w:val="20"/>
                          <w:szCs w:val="20"/>
                        </w:rPr>
                        <w:fldChar w:fldCharType="begin"/>
                      </w:r>
                      <w:r w:rsidRPr="005B1AC3">
                        <w:rPr>
                          <w:rFonts w:ascii="Arial" w:hAnsi="Arial" w:cs="Arial"/>
                          <w:b/>
                          <w:i w:val="0"/>
                          <w:color w:val="000000" w:themeColor="text1"/>
                          <w:sz w:val="20"/>
                          <w:szCs w:val="20"/>
                        </w:rPr>
                        <w:instrText xml:space="preserve"> SEQ Figure \* ARABIC </w:instrText>
                      </w:r>
                      <w:r w:rsidRPr="005B1AC3">
                        <w:rPr>
                          <w:rFonts w:ascii="Arial" w:hAnsi="Arial" w:cs="Arial"/>
                          <w:b/>
                          <w:i w:val="0"/>
                          <w:color w:val="000000" w:themeColor="text1"/>
                          <w:sz w:val="20"/>
                          <w:szCs w:val="20"/>
                        </w:rPr>
                        <w:fldChar w:fldCharType="separate"/>
                      </w:r>
                      <w:r w:rsidR="00BB7995">
                        <w:rPr>
                          <w:rFonts w:ascii="Arial" w:hAnsi="Arial" w:cs="Arial"/>
                          <w:b/>
                          <w:i w:val="0"/>
                          <w:noProof/>
                          <w:color w:val="000000" w:themeColor="text1"/>
                          <w:sz w:val="20"/>
                          <w:szCs w:val="20"/>
                        </w:rPr>
                        <w:t>1</w:t>
                      </w:r>
                      <w:r w:rsidRPr="005B1AC3">
                        <w:rPr>
                          <w:rFonts w:ascii="Arial" w:hAnsi="Arial" w:cs="Arial"/>
                          <w:b/>
                          <w:i w:val="0"/>
                          <w:color w:val="000000" w:themeColor="text1"/>
                          <w:sz w:val="20"/>
                          <w:szCs w:val="20"/>
                        </w:rPr>
                        <w:fldChar w:fldCharType="end"/>
                      </w:r>
                      <w:bookmarkEnd w:id="1"/>
                      <w:r w:rsidR="005B1AC3">
                        <w:rPr>
                          <w:rFonts w:ascii="Arial" w:hAnsi="Arial" w:cs="Arial"/>
                          <w:b/>
                          <w:i w:val="0"/>
                          <w:color w:val="000000" w:themeColor="text1"/>
                          <w:sz w:val="20"/>
                          <w:szCs w:val="20"/>
                        </w:rPr>
                        <w:t>. </w:t>
                      </w:r>
                      <w:r w:rsidR="00237BD7">
                        <w:rPr>
                          <w:rFonts w:ascii="Arial" w:hAnsi="Arial" w:cs="Arial"/>
                          <w:b/>
                          <w:i w:val="0"/>
                          <w:color w:val="000000" w:themeColor="text1"/>
                          <w:sz w:val="20"/>
                          <w:szCs w:val="20"/>
                        </w:rPr>
                        <w:t>US Bank failures spiked in 20</w:t>
                      </w:r>
                      <w:r w:rsidR="00F24BB4">
                        <w:rPr>
                          <w:rFonts w:ascii="Arial" w:hAnsi="Arial" w:cs="Arial"/>
                          <w:b/>
                          <w:i w:val="0"/>
                          <w:color w:val="000000" w:themeColor="text1"/>
                          <w:sz w:val="20"/>
                          <w:szCs w:val="20"/>
                        </w:rPr>
                        <w:t>09</w:t>
                      </w:r>
                      <w:r w:rsidR="00237BD7">
                        <w:rPr>
                          <w:rFonts w:ascii="Arial" w:hAnsi="Arial" w:cs="Arial"/>
                          <w:b/>
                          <w:i w:val="0"/>
                          <w:color w:val="000000" w:themeColor="text1"/>
                          <w:sz w:val="20"/>
                          <w:szCs w:val="20"/>
                        </w:rPr>
                        <w:t>, in the wake of the Global Financial Crisis</w:t>
                      </w:r>
                      <w:r w:rsidR="00F24BB4">
                        <w:rPr>
                          <w:rFonts w:ascii="Arial" w:hAnsi="Arial" w:cs="Arial"/>
                          <w:b/>
                          <w:i w:val="0"/>
                          <w:color w:val="000000" w:themeColor="text1"/>
                          <w:sz w:val="20"/>
                          <w:szCs w:val="20"/>
                        </w:rPr>
                        <w:t>, peaking in 2010 at 157</w:t>
                      </w:r>
                    </w:p>
                    <w:p w14:paraId="0571BE23" w14:textId="623D8D92" w:rsidR="001525ED" w:rsidRDefault="001525ED" w:rsidP="00151EB7">
                      <w:pPr>
                        <w:pStyle w:val="Caption"/>
                        <w:spacing w:before="120" w:after="0"/>
                        <w:jc w:val="both"/>
                      </w:pPr>
                    </w:p>
                  </w:txbxContent>
                </v:textbox>
                <w10:wrap type="square" anchorx="margin" anchory="margin"/>
              </v:shape>
            </w:pict>
          </mc:Fallback>
        </mc:AlternateContent>
      </w:r>
      <w:r w:rsidR="004A56F4" w:rsidRPr="004650EA">
        <w:rPr>
          <w:sz w:val="20"/>
          <w:szCs w:val="20"/>
        </w:rPr>
        <w:t xml:space="preserve">There are </w:t>
      </w:r>
      <w:r w:rsidR="00E427EF">
        <w:rPr>
          <w:sz w:val="20"/>
          <w:szCs w:val="20"/>
        </w:rPr>
        <w:t xml:space="preserve">many </w:t>
      </w:r>
      <w:r w:rsidR="004A56F4" w:rsidRPr="004650EA">
        <w:rPr>
          <w:sz w:val="20"/>
          <w:szCs w:val="20"/>
        </w:rPr>
        <w:t>reasons for wan</w:t>
      </w:r>
      <w:r w:rsidR="00E427EF">
        <w:rPr>
          <w:sz w:val="20"/>
          <w:szCs w:val="20"/>
        </w:rPr>
        <w:t xml:space="preserve">ting to assess bank health. An </w:t>
      </w:r>
      <w:r w:rsidR="004A56F4" w:rsidRPr="004650EA">
        <w:rPr>
          <w:sz w:val="20"/>
          <w:szCs w:val="20"/>
        </w:rPr>
        <w:t xml:space="preserve">equity trader might be interested in identifying if any of the publicly traded banks are due to </w:t>
      </w:r>
      <w:r w:rsidR="00966C62">
        <w:rPr>
          <w:sz w:val="20"/>
          <w:szCs w:val="20"/>
        </w:rPr>
        <w:t>fail</w:t>
      </w:r>
      <w:r w:rsidR="004A56F4" w:rsidRPr="004650EA">
        <w:rPr>
          <w:sz w:val="20"/>
          <w:szCs w:val="20"/>
        </w:rPr>
        <w:t xml:space="preserve"> like Lehman Brothers a</w:t>
      </w:r>
      <w:r w:rsidR="00E427EF">
        <w:rPr>
          <w:sz w:val="20"/>
          <w:szCs w:val="20"/>
        </w:rPr>
        <w:t xml:space="preserve">nd Bear Stearns did during the </w:t>
      </w:r>
      <w:r w:rsidR="009F0B0A">
        <w:rPr>
          <w:sz w:val="20"/>
          <w:szCs w:val="20"/>
        </w:rPr>
        <w:t>Global Financial Crisis</w:t>
      </w:r>
      <w:r w:rsidR="00C67406">
        <w:rPr>
          <w:sz w:val="20"/>
          <w:szCs w:val="20"/>
        </w:rPr>
        <w:t xml:space="preserve"> (GFC) </w:t>
      </w:r>
      <w:r w:rsidR="009F0B0A">
        <w:rPr>
          <w:sz w:val="20"/>
          <w:szCs w:val="20"/>
        </w:rPr>
        <w:t>of 2007-2009</w:t>
      </w:r>
      <w:r w:rsidR="00E427EF">
        <w:rPr>
          <w:sz w:val="20"/>
          <w:szCs w:val="20"/>
        </w:rPr>
        <w:t xml:space="preserve"> </w:t>
      </w:r>
      <w:r w:rsidR="00D7394C">
        <w:rPr>
          <w:sz w:val="20"/>
          <w:szCs w:val="20"/>
        </w:rPr>
        <w:fldChar w:fldCharType="begin"/>
      </w:r>
      <w:r w:rsidR="00D7394C">
        <w:rPr>
          <w:sz w:val="20"/>
          <w:szCs w:val="20"/>
        </w:rPr>
        <w:instrText xml:space="preserve"> REF _Ref513751580 \r </w:instrText>
      </w:r>
      <w:r w:rsidR="00D7394C">
        <w:rPr>
          <w:sz w:val="20"/>
          <w:szCs w:val="20"/>
        </w:rPr>
        <w:fldChar w:fldCharType="separate"/>
      </w:r>
      <w:r w:rsidR="00BB7995">
        <w:rPr>
          <w:sz w:val="20"/>
          <w:szCs w:val="20"/>
        </w:rPr>
        <w:t>[1]</w:t>
      </w:r>
      <w:r w:rsidR="00D7394C">
        <w:rPr>
          <w:sz w:val="20"/>
          <w:szCs w:val="20"/>
        </w:rPr>
        <w:fldChar w:fldCharType="end"/>
      </w:r>
      <w:r w:rsidR="00D7394C">
        <w:rPr>
          <w:sz w:val="20"/>
          <w:szCs w:val="20"/>
        </w:rPr>
        <w:t xml:space="preserve">. </w:t>
      </w:r>
      <w:r w:rsidR="004A56F4" w:rsidRPr="004650EA">
        <w:rPr>
          <w:sz w:val="20"/>
          <w:szCs w:val="20"/>
        </w:rPr>
        <w:t>For the investor in more exotic instruments, bank health could be of interest for the trader of derivatives, particularly credit default a</w:t>
      </w:r>
      <w:r w:rsidR="00E427EF">
        <w:rPr>
          <w:sz w:val="20"/>
          <w:szCs w:val="20"/>
        </w:rPr>
        <w:t>nd interest rate swaps. L</w:t>
      </w:r>
      <w:r w:rsidR="004A56F4" w:rsidRPr="004650EA">
        <w:rPr>
          <w:sz w:val="20"/>
          <w:szCs w:val="20"/>
        </w:rPr>
        <w:t xml:space="preserve">enders would want any </w:t>
      </w:r>
      <w:r w:rsidR="00E427EF">
        <w:rPr>
          <w:sz w:val="20"/>
          <w:szCs w:val="20"/>
        </w:rPr>
        <w:t xml:space="preserve">advantage </w:t>
      </w:r>
      <w:r w:rsidR="004A56F4" w:rsidRPr="004650EA">
        <w:rPr>
          <w:sz w:val="20"/>
          <w:szCs w:val="20"/>
        </w:rPr>
        <w:t xml:space="preserve">in determining risk and appropriate interest to charge on interbank loans. </w:t>
      </w:r>
      <w:r w:rsidR="00E427EF">
        <w:rPr>
          <w:sz w:val="20"/>
          <w:szCs w:val="20"/>
        </w:rPr>
        <w:t>R</w:t>
      </w:r>
      <w:r w:rsidR="004A56F4" w:rsidRPr="004650EA">
        <w:rPr>
          <w:sz w:val="20"/>
          <w:szCs w:val="20"/>
        </w:rPr>
        <w:t xml:space="preserve">egulators would want </w:t>
      </w:r>
      <w:r w:rsidR="004A56F4">
        <w:rPr>
          <w:sz w:val="20"/>
          <w:szCs w:val="20"/>
        </w:rPr>
        <w:t>to know which banks are in danger of failing</w:t>
      </w:r>
      <w:r w:rsidR="00E60D5A">
        <w:rPr>
          <w:sz w:val="20"/>
          <w:szCs w:val="20"/>
        </w:rPr>
        <w:t xml:space="preserve">, </w:t>
      </w:r>
      <w:r w:rsidR="00F80986">
        <w:rPr>
          <w:sz w:val="20"/>
          <w:szCs w:val="20"/>
        </w:rPr>
        <w:t xml:space="preserve">as many did in the wake of the </w:t>
      </w:r>
      <w:r w:rsidR="00C67406">
        <w:rPr>
          <w:sz w:val="20"/>
          <w:szCs w:val="20"/>
        </w:rPr>
        <w:t>GFC </w:t>
      </w:r>
      <w:r w:rsidR="00E427EF">
        <w:rPr>
          <w:sz w:val="20"/>
          <w:szCs w:val="20"/>
        </w:rPr>
        <w:fldChar w:fldCharType="begin"/>
      </w:r>
      <w:r w:rsidR="00E427EF">
        <w:rPr>
          <w:sz w:val="20"/>
          <w:szCs w:val="20"/>
        </w:rPr>
        <w:instrText xml:space="preserve"> REF _Ref512154302 \n </w:instrText>
      </w:r>
      <w:r w:rsidR="00E427EF">
        <w:rPr>
          <w:sz w:val="20"/>
          <w:szCs w:val="20"/>
        </w:rPr>
        <w:fldChar w:fldCharType="separate"/>
      </w:r>
      <w:r w:rsidR="00BB7995">
        <w:rPr>
          <w:sz w:val="20"/>
          <w:szCs w:val="20"/>
        </w:rPr>
        <w:t>[2]</w:t>
      </w:r>
      <w:r w:rsidR="00E427EF">
        <w:rPr>
          <w:sz w:val="20"/>
          <w:szCs w:val="20"/>
        </w:rPr>
        <w:fldChar w:fldCharType="end"/>
      </w:r>
      <w:r w:rsidR="00E427EF">
        <w:rPr>
          <w:sz w:val="20"/>
          <w:szCs w:val="20"/>
        </w:rPr>
        <w:t>.</w:t>
      </w:r>
    </w:p>
    <w:p w14:paraId="14CEC0DE" w14:textId="05B64BEC" w:rsidR="00F80986" w:rsidRDefault="00E427EF" w:rsidP="00EB710F">
      <w:pPr>
        <w:ind w:firstLine="360"/>
        <w:contextualSpacing/>
        <w:jc w:val="both"/>
        <w:rPr>
          <w:sz w:val="20"/>
          <w:szCs w:val="20"/>
        </w:rPr>
      </w:pPr>
      <w:r>
        <w:rPr>
          <w:sz w:val="20"/>
          <w:szCs w:val="20"/>
        </w:rPr>
        <w:t xml:space="preserve">In </w:t>
      </w:r>
      <w:r>
        <w:rPr>
          <w:sz w:val="20"/>
          <w:szCs w:val="20"/>
        </w:rPr>
        <w:fldChar w:fldCharType="begin"/>
      </w:r>
      <w:r>
        <w:rPr>
          <w:sz w:val="20"/>
          <w:szCs w:val="20"/>
        </w:rPr>
        <w:instrText xml:space="preserve"> REF _Ref512154327 \*mergeformat</w:instrText>
      </w:r>
      <w:r>
        <w:rPr>
          <w:sz w:val="20"/>
          <w:szCs w:val="20"/>
        </w:rPr>
        <w:fldChar w:fldCharType="separate"/>
      </w:r>
      <w:r w:rsidR="00BB7995" w:rsidRPr="00BB7995">
        <w:rPr>
          <w:sz w:val="20"/>
          <w:szCs w:val="20"/>
        </w:rPr>
        <w:t>Figure 1</w:t>
      </w:r>
      <w:r>
        <w:rPr>
          <w:sz w:val="20"/>
          <w:szCs w:val="20"/>
        </w:rPr>
        <w:fldChar w:fldCharType="end"/>
      </w:r>
      <w:r>
        <w:rPr>
          <w:sz w:val="20"/>
          <w:szCs w:val="20"/>
        </w:rPr>
        <w:t xml:space="preserve">, we show </w:t>
      </w:r>
      <w:r w:rsidR="000F11A6">
        <w:rPr>
          <w:sz w:val="20"/>
          <w:szCs w:val="20"/>
        </w:rPr>
        <w:t xml:space="preserve">the </w:t>
      </w:r>
      <w:r>
        <w:rPr>
          <w:sz w:val="20"/>
          <w:szCs w:val="20"/>
        </w:rPr>
        <w:t>number of bank failures per year.</w:t>
      </w:r>
      <w:r w:rsidR="00225D26">
        <w:rPr>
          <w:sz w:val="20"/>
          <w:szCs w:val="20"/>
        </w:rPr>
        <w:t xml:space="preserve"> Following a scarcity of failed banks</w:t>
      </w:r>
      <w:r w:rsidR="003E2D42">
        <w:rPr>
          <w:sz w:val="20"/>
          <w:szCs w:val="20"/>
        </w:rPr>
        <w:t xml:space="preserve"> in </w:t>
      </w:r>
      <w:r w:rsidR="00225D26">
        <w:rPr>
          <w:sz w:val="20"/>
          <w:szCs w:val="20"/>
        </w:rPr>
        <w:t>2000-2007</w:t>
      </w:r>
      <w:r w:rsidR="00467039">
        <w:rPr>
          <w:sz w:val="20"/>
          <w:szCs w:val="20"/>
        </w:rPr>
        <w:t xml:space="preserve">, bank failures began to rise as the effects of the </w:t>
      </w:r>
      <w:r w:rsidR="00C67406">
        <w:rPr>
          <w:sz w:val="20"/>
          <w:szCs w:val="20"/>
        </w:rPr>
        <w:t xml:space="preserve">GFC </w:t>
      </w:r>
      <w:r w:rsidR="00467039">
        <w:rPr>
          <w:sz w:val="20"/>
          <w:szCs w:val="20"/>
        </w:rPr>
        <w:t>set in, causing a surge of bank failures starting in 2009, peaking at 157 in 2010, and only returning to pre-</w:t>
      </w:r>
      <w:r w:rsidR="00C67406">
        <w:rPr>
          <w:sz w:val="20"/>
          <w:szCs w:val="20"/>
        </w:rPr>
        <w:t>c</w:t>
      </w:r>
      <w:r w:rsidR="00467039">
        <w:rPr>
          <w:sz w:val="20"/>
          <w:szCs w:val="20"/>
        </w:rPr>
        <w:t xml:space="preserve">risis levels in 2015. </w:t>
      </w:r>
      <w:r w:rsidR="00AE13A2">
        <w:rPr>
          <w:sz w:val="20"/>
          <w:szCs w:val="20"/>
        </w:rPr>
        <w:t xml:space="preserve">Bank failures during the </w:t>
      </w:r>
      <w:r w:rsidR="00C67406">
        <w:rPr>
          <w:sz w:val="20"/>
          <w:szCs w:val="20"/>
        </w:rPr>
        <w:t xml:space="preserve">GFC </w:t>
      </w:r>
      <w:r w:rsidR="00AE13A2">
        <w:rPr>
          <w:sz w:val="20"/>
          <w:szCs w:val="20"/>
        </w:rPr>
        <w:t>were driven by a combination of leverage</w:t>
      </w:r>
      <w:r w:rsidR="009E1889">
        <w:rPr>
          <w:sz w:val="20"/>
          <w:szCs w:val="20"/>
        </w:rPr>
        <w:t>;</w:t>
      </w:r>
      <w:r w:rsidR="00AE13A2">
        <w:rPr>
          <w:sz w:val="20"/>
          <w:szCs w:val="20"/>
        </w:rPr>
        <w:t xml:space="preserve"> concentration of risk, particularly into mortgages and mortgage derivatives</w:t>
      </w:r>
      <w:r w:rsidR="009E1889">
        <w:rPr>
          <w:sz w:val="20"/>
          <w:szCs w:val="20"/>
        </w:rPr>
        <w:t xml:space="preserve">; and a focus on short-term gains at the expense of long-term risk </w:t>
      </w:r>
      <w:r w:rsidR="00C67406">
        <w:rPr>
          <w:sz w:val="20"/>
          <w:szCs w:val="20"/>
        </w:rPr>
        <w:fldChar w:fldCharType="begin"/>
      </w:r>
      <w:r w:rsidR="00C67406">
        <w:rPr>
          <w:sz w:val="20"/>
          <w:szCs w:val="20"/>
        </w:rPr>
        <w:instrText xml:space="preserve"> REF _Ref512208640 \n </w:instrText>
      </w:r>
      <w:r w:rsidR="00C67406">
        <w:rPr>
          <w:sz w:val="20"/>
          <w:szCs w:val="20"/>
        </w:rPr>
        <w:fldChar w:fldCharType="separate"/>
      </w:r>
      <w:r w:rsidR="00BB7995">
        <w:rPr>
          <w:sz w:val="20"/>
          <w:szCs w:val="20"/>
        </w:rPr>
        <w:t>[3]</w:t>
      </w:r>
      <w:r w:rsidR="00C67406">
        <w:rPr>
          <w:sz w:val="20"/>
          <w:szCs w:val="20"/>
        </w:rPr>
        <w:fldChar w:fldCharType="end"/>
      </w:r>
      <w:r w:rsidR="009E1889">
        <w:rPr>
          <w:sz w:val="20"/>
          <w:szCs w:val="20"/>
        </w:rPr>
        <w:t>.</w:t>
      </w:r>
      <w:r w:rsidR="00E117EF">
        <w:rPr>
          <w:sz w:val="20"/>
          <w:szCs w:val="20"/>
        </w:rPr>
        <w:t xml:space="preserve"> </w:t>
      </w:r>
    </w:p>
    <w:p w14:paraId="5AC9C190" w14:textId="6C9EC677" w:rsidR="00912523" w:rsidRDefault="004A56F4" w:rsidP="00912523">
      <w:pPr>
        <w:ind w:firstLine="360"/>
        <w:contextualSpacing/>
        <w:jc w:val="both"/>
        <w:rPr>
          <w:sz w:val="20"/>
          <w:szCs w:val="20"/>
        </w:rPr>
      </w:pPr>
      <w:r w:rsidRPr="004650EA">
        <w:rPr>
          <w:sz w:val="20"/>
          <w:szCs w:val="20"/>
        </w:rPr>
        <w:t xml:space="preserve">Bank health analysis has been able to get strong performance </w:t>
      </w:r>
      <w:r w:rsidR="00912523">
        <w:rPr>
          <w:sz w:val="20"/>
          <w:szCs w:val="20"/>
        </w:rPr>
        <w:t>using support vector machines</w:t>
      </w:r>
      <w:r w:rsidR="00C67406">
        <w:rPr>
          <w:sz w:val="20"/>
          <w:szCs w:val="20"/>
        </w:rPr>
        <w:t xml:space="preserve"> </w:t>
      </w:r>
      <w:r w:rsidR="00763A94">
        <w:rPr>
          <w:sz w:val="20"/>
          <w:szCs w:val="20"/>
        </w:rPr>
        <w:fldChar w:fldCharType="begin"/>
      </w:r>
      <w:r w:rsidR="00763A94">
        <w:rPr>
          <w:sz w:val="20"/>
          <w:szCs w:val="20"/>
        </w:rPr>
        <w:instrText xml:space="preserve"> REF _Ref512208744 \n </w:instrText>
      </w:r>
      <w:r w:rsidR="00763A94">
        <w:rPr>
          <w:sz w:val="20"/>
          <w:szCs w:val="20"/>
        </w:rPr>
        <w:fldChar w:fldCharType="separate"/>
      </w:r>
      <w:r w:rsidR="00BB7995">
        <w:rPr>
          <w:sz w:val="20"/>
          <w:szCs w:val="20"/>
        </w:rPr>
        <w:t>[4]</w:t>
      </w:r>
      <w:r w:rsidR="00763A94">
        <w:rPr>
          <w:sz w:val="20"/>
          <w:szCs w:val="20"/>
        </w:rPr>
        <w:fldChar w:fldCharType="end"/>
      </w:r>
      <w:r w:rsidR="00912523">
        <w:rPr>
          <w:sz w:val="20"/>
          <w:szCs w:val="20"/>
        </w:rPr>
        <w:t>, fully-connected neural networks</w:t>
      </w:r>
      <w:r w:rsidR="00C67406">
        <w:rPr>
          <w:sz w:val="20"/>
          <w:szCs w:val="20"/>
        </w:rPr>
        <w:t xml:space="preserve"> </w:t>
      </w:r>
      <w:r w:rsidR="00763A94">
        <w:rPr>
          <w:sz w:val="20"/>
          <w:szCs w:val="20"/>
        </w:rPr>
        <w:fldChar w:fldCharType="begin"/>
      </w:r>
      <w:r w:rsidR="00763A94">
        <w:rPr>
          <w:sz w:val="20"/>
          <w:szCs w:val="20"/>
        </w:rPr>
        <w:instrText xml:space="preserve"> REF _Ref512208764 \n </w:instrText>
      </w:r>
      <w:r w:rsidR="00763A94">
        <w:rPr>
          <w:sz w:val="20"/>
          <w:szCs w:val="20"/>
        </w:rPr>
        <w:fldChar w:fldCharType="separate"/>
      </w:r>
      <w:r w:rsidR="00BB7995">
        <w:rPr>
          <w:sz w:val="20"/>
          <w:szCs w:val="20"/>
        </w:rPr>
        <w:t>[5]</w:t>
      </w:r>
      <w:r w:rsidR="00763A94">
        <w:rPr>
          <w:sz w:val="20"/>
          <w:szCs w:val="20"/>
        </w:rPr>
        <w:fldChar w:fldCharType="end"/>
      </w:r>
      <w:r w:rsidR="00912523">
        <w:rPr>
          <w:sz w:val="20"/>
          <w:szCs w:val="20"/>
        </w:rPr>
        <w:t xml:space="preserve">, and logistic regression </w:t>
      </w:r>
      <w:r w:rsidR="00763A94">
        <w:rPr>
          <w:sz w:val="20"/>
          <w:szCs w:val="20"/>
        </w:rPr>
        <w:fldChar w:fldCharType="begin"/>
      </w:r>
      <w:r w:rsidR="00763A94">
        <w:rPr>
          <w:sz w:val="20"/>
          <w:szCs w:val="20"/>
        </w:rPr>
        <w:instrText xml:space="preserve"> REF _Ref512208725 \n </w:instrText>
      </w:r>
      <w:r w:rsidR="00763A94">
        <w:rPr>
          <w:sz w:val="20"/>
          <w:szCs w:val="20"/>
        </w:rPr>
        <w:fldChar w:fldCharType="separate"/>
      </w:r>
      <w:r w:rsidR="00BB7995">
        <w:rPr>
          <w:sz w:val="20"/>
          <w:szCs w:val="20"/>
        </w:rPr>
        <w:t>[6]</w:t>
      </w:r>
      <w:r w:rsidR="00763A94">
        <w:rPr>
          <w:sz w:val="20"/>
          <w:szCs w:val="20"/>
        </w:rPr>
        <w:fldChar w:fldCharType="end"/>
      </w:r>
      <w:r w:rsidR="00912523">
        <w:rPr>
          <w:sz w:val="20"/>
          <w:szCs w:val="20"/>
        </w:rPr>
        <w:t xml:space="preserve">. </w:t>
      </w:r>
      <w:r w:rsidR="00EB1386">
        <w:rPr>
          <w:sz w:val="20"/>
          <w:szCs w:val="20"/>
        </w:rPr>
        <w:t xml:space="preserve">These studies, however, suffer from </w:t>
      </w:r>
      <w:r w:rsidR="00763A94">
        <w:rPr>
          <w:sz w:val="20"/>
          <w:szCs w:val="20"/>
        </w:rPr>
        <w:t xml:space="preserve">various </w:t>
      </w:r>
      <w:r w:rsidR="00EB1386">
        <w:rPr>
          <w:sz w:val="20"/>
          <w:szCs w:val="20"/>
        </w:rPr>
        <w:t>shortcomings</w:t>
      </w:r>
      <w:r w:rsidR="00691B07">
        <w:rPr>
          <w:sz w:val="20"/>
          <w:szCs w:val="20"/>
        </w:rPr>
        <w:t xml:space="preserve"> that we address</w:t>
      </w:r>
      <w:r w:rsidR="00763A94">
        <w:rPr>
          <w:sz w:val="20"/>
          <w:szCs w:val="20"/>
        </w:rPr>
        <w:t xml:space="preserve"> in this paper</w:t>
      </w:r>
      <w:r w:rsidR="00EB1386">
        <w:rPr>
          <w:sz w:val="20"/>
          <w:szCs w:val="20"/>
        </w:rPr>
        <w:t>.</w:t>
      </w:r>
      <w:r w:rsidR="00691B07">
        <w:rPr>
          <w:sz w:val="20"/>
          <w:szCs w:val="20"/>
        </w:rPr>
        <w:t xml:space="preserve"> </w:t>
      </w:r>
      <w:r w:rsidR="00763A94">
        <w:rPr>
          <w:sz w:val="20"/>
          <w:szCs w:val="20"/>
        </w:rPr>
        <w:t xml:space="preserve">For example, </w:t>
      </w:r>
      <w:r w:rsidR="00343563">
        <w:rPr>
          <w:sz w:val="20"/>
          <w:szCs w:val="20"/>
        </w:rPr>
        <w:t xml:space="preserve">Erdogan </w:t>
      </w:r>
      <w:r w:rsidR="00763A94">
        <w:rPr>
          <w:sz w:val="20"/>
          <w:szCs w:val="20"/>
        </w:rPr>
        <w:fldChar w:fldCharType="begin"/>
      </w:r>
      <w:r w:rsidR="00763A94">
        <w:rPr>
          <w:sz w:val="20"/>
          <w:szCs w:val="20"/>
        </w:rPr>
        <w:instrText xml:space="preserve"> REF _Ref512208744 \n </w:instrText>
      </w:r>
      <w:r w:rsidR="00763A94">
        <w:rPr>
          <w:sz w:val="20"/>
          <w:szCs w:val="20"/>
        </w:rPr>
        <w:fldChar w:fldCharType="separate"/>
      </w:r>
      <w:r w:rsidR="00BB7995">
        <w:rPr>
          <w:sz w:val="20"/>
          <w:szCs w:val="20"/>
        </w:rPr>
        <w:t>[4]</w:t>
      </w:r>
      <w:r w:rsidR="00763A94">
        <w:rPr>
          <w:sz w:val="20"/>
          <w:szCs w:val="20"/>
        </w:rPr>
        <w:fldChar w:fldCharType="end"/>
      </w:r>
      <w:r w:rsidR="004629B2">
        <w:rPr>
          <w:sz w:val="20"/>
          <w:szCs w:val="20"/>
        </w:rPr>
        <w:fldChar w:fldCharType="begin"/>
      </w:r>
      <w:r w:rsidR="004629B2">
        <w:rPr>
          <w:sz w:val="20"/>
          <w:szCs w:val="20"/>
        </w:rPr>
        <w:instrText xml:space="preserve"> REF _Ref512208728 \r \h </w:instrText>
      </w:r>
      <w:r w:rsidR="004629B2">
        <w:rPr>
          <w:sz w:val="20"/>
          <w:szCs w:val="20"/>
        </w:rPr>
      </w:r>
      <w:r w:rsidR="004629B2">
        <w:rPr>
          <w:sz w:val="20"/>
          <w:szCs w:val="20"/>
        </w:rPr>
        <w:fldChar w:fldCharType="separate"/>
      </w:r>
      <w:r w:rsidR="00BB7995">
        <w:rPr>
          <w:sz w:val="20"/>
          <w:szCs w:val="20"/>
        </w:rPr>
        <w:t>[7]</w:t>
      </w:r>
      <w:r w:rsidR="004629B2">
        <w:rPr>
          <w:sz w:val="20"/>
          <w:szCs w:val="20"/>
        </w:rPr>
        <w:fldChar w:fldCharType="end"/>
      </w:r>
      <w:r w:rsidR="00763A94">
        <w:rPr>
          <w:sz w:val="20"/>
          <w:szCs w:val="20"/>
        </w:rPr>
        <w:t xml:space="preserve"> </w:t>
      </w:r>
      <w:r w:rsidR="00691B07">
        <w:rPr>
          <w:sz w:val="20"/>
          <w:szCs w:val="20"/>
        </w:rPr>
        <w:t xml:space="preserve">and </w:t>
      </w:r>
      <w:r w:rsidR="00691B07" w:rsidRPr="00691B07">
        <w:rPr>
          <w:sz w:val="20"/>
          <w:szCs w:val="20"/>
        </w:rPr>
        <w:t>Boyacioglu</w:t>
      </w:r>
      <w:r w:rsidR="00343563">
        <w:rPr>
          <w:sz w:val="20"/>
          <w:szCs w:val="20"/>
        </w:rPr>
        <w:t xml:space="preserve"> </w:t>
      </w:r>
      <w:r w:rsidR="00763A94">
        <w:rPr>
          <w:sz w:val="20"/>
          <w:szCs w:val="20"/>
        </w:rPr>
        <w:fldChar w:fldCharType="begin"/>
      </w:r>
      <w:r w:rsidR="00763A94">
        <w:rPr>
          <w:sz w:val="20"/>
          <w:szCs w:val="20"/>
        </w:rPr>
        <w:instrText xml:space="preserve"> REF _Ref512208764 \n </w:instrText>
      </w:r>
      <w:r w:rsidR="00763A94">
        <w:rPr>
          <w:sz w:val="20"/>
          <w:szCs w:val="20"/>
        </w:rPr>
        <w:fldChar w:fldCharType="separate"/>
      </w:r>
      <w:r w:rsidR="00BB7995">
        <w:rPr>
          <w:sz w:val="20"/>
          <w:szCs w:val="20"/>
        </w:rPr>
        <w:t>[5]</w:t>
      </w:r>
      <w:r w:rsidR="00763A94">
        <w:rPr>
          <w:sz w:val="20"/>
          <w:szCs w:val="20"/>
        </w:rPr>
        <w:fldChar w:fldCharType="end"/>
      </w:r>
      <w:r w:rsidR="00763A94">
        <w:rPr>
          <w:sz w:val="20"/>
          <w:szCs w:val="20"/>
        </w:rPr>
        <w:t xml:space="preserve"> used </w:t>
      </w:r>
      <w:r w:rsidR="00691B07">
        <w:rPr>
          <w:sz w:val="20"/>
          <w:szCs w:val="20"/>
        </w:rPr>
        <w:t>small data sets</w:t>
      </w:r>
      <w:r w:rsidR="00763A94">
        <w:rPr>
          <w:sz w:val="20"/>
          <w:szCs w:val="20"/>
        </w:rPr>
        <w:t xml:space="preserve"> (</w:t>
      </w:r>
      <w:r w:rsidR="00691B07">
        <w:rPr>
          <w:sz w:val="20"/>
          <w:szCs w:val="20"/>
        </w:rPr>
        <w:t>42 and 65 banks, respectively</w:t>
      </w:r>
      <w:r w:rsidR="00763A94">
        <w:rPr>
          <w:sz w:val="20"/>
          <w:szCs w:val="20"/>
        </w:rPr>
        <w:t xml:space="preserve">). Second, all four studies </w:t>
      </w:r>
      <w:r w:rsidR="00691B07">
        <w:rPr>
          <w:sz w:val="20"/>
          <w:szCs w:val="20"/>
        </w:rPr>
        <w:t>considered factors exog</w:t>
      </w:r>
      <w:r w:rsidR="00421537">
        <w:rPr>
          <w:sz w:val="20"/>
          <w:szCs w:val="20"/>
        </w:rPr>
        <w:t>enous to the banks. Erdogan</w:t>
      </w:r>
      <w:r w:rsidR="00763A94">
        <w:rPr>
          <w:sz w:val="20"/>
          <w:szCs w:val="20"/>
        </w:rPr>
        <w:t xml:space="preserve"> </w:t>
      </w:r>
      <w:r w:rsidR="00691B07">
        <w:rPr>
          <w:sz w:val="20"/>
          <w:szCs w:val="20"/>
        </w:rPr>
        <w:t xml:space="preserve">and </w:t>
      </w:r>
      <w:r w:rsidR="00691B07" w:rsidRPr="00691B07">
        <w:rPr>
          <w:sz w:val="20"/>
          <w:szCs w:val="20"/>
        </w:rPr>
        <w:t>Boyacioglu</w:t>
      </w:r>
      <w:r w:rsidR="00763A94">
        <w:rPr>
          <w:sz w:val="20"/>
          <w:szCs w:val="20"/>
        </w:rPr>
        <w:t xml:space="preserve"> </w:t>
      </w:r>
      <w:r w:rsidR="00691B07">
        <w:rPr>
          <w:sz w:val="20"/>
          <w:szCs w:val="20"/>
        </w:rPr>
        <w:t>considered banks from roughly the same eras</w:t>
      </w:r>
      <w:r w:rsidR="00343563">
        <w:rPr>
          <w:sz w:val="20"/>
          <w:szCs w:val="20"/>
        </w:rPr>
        <w:t xml:space="preserve">, </w:t>
      </w:r>
      <w:r w:rsidR="00DE4F8F">
        <w:rPr>
          <w:sz w:val="20"/>
          <w:szCs w:val="20"/>
        </w:rPr>
        <w:t>limiting</w:t>
      </w:r>
      <w:r w:rsidR="00343563">
        <w:rPr>
          <w:sz w:val="20"/>
          <w:szCs w:val="20"/>
        </w:rPr>
        <w:t xml:space="preserve"> variability due to differences in the </w:t>
      </w:r>
      <w:r w:rsidR="005752C0">
        <w:rPr>
          <w:sz w:val="20"/>
          <w:szCs w:val="20"/>
        </w:rPr>
        <w:t xml:space="preserve">general health of the </w:t>
      </w:r>
      <w:r w:rsidR="00343563">
        <w:rPr>
          <w:sz w:val="20"/>
          <w:szCs w:val="20"/>
        </w:rPr>
        <w:t>economy</w:t>
      </w:r>
      <w:r w:rsidR="00691B07">
        <w:rPr>
          <w:sz w:val="20"/>
          <w:szCs w:val="20"/>
        </w:rPr>
        <w:t>, while Zheng</w:t>
      </w:r>
      <w:r w:rsidR="00763A94">
        <w:rPr>
          <w:sz w:val="20"/>
          <w:szCs w:val="20"/>
        </w:rPr>
        <w:t> </w:t>
      </w:r>
      <w:r w:rsidR="004629B2">
        <w:rPr>
          <w:sz w:val="20"/>
          <w:szCs w:val="20"/>
        </w:rPr>
        <w:fldChar w:fldCharType="begin"/>
      </w:r>
      <w:r w:rsidR="004629B2">
        <w:rPr>
          <w:sz w:val="20"/>
          <w:szCs w:val="20"/>
        </w:rPr>
        <w:instrText xml:space="preserve"> REF _Ref512208725 \r \h </w:instrText>
      </w:r>
      <w:r w:rsidR="004629B2">
        <w:rPr>
          <w:sz w:val="20"/>
          <w:szCs w:val="20"/>
        </w:rPr>
      </w:r>
      <w:r w:rsidR="004629B2">
        <w:rPr>
          <w:sz w:val="20"/>
          <w:szCs w:val="20"/>
        </w:rPr>
        <w:fldChar w:fldCharType="separate"/>
      </w:r>
      <w:r w:rsidR="00BB7995">
        <w:rPr>
          <w:sz w:val="20"/>
          <w:szCs w:val="20"/>
        </w:rPr>
        <w:t>[6]</w:t>
      </w:r>
      <w:r w:rsidR="004629B2">
        <w:rPr>
          <w:sz w:val="20"/>
          <w:szCs w:val="20"/>
        </w:rPr>
        <w:fldChar w:fldCharType="end"/>
      </w:r>
      <w:r w:rsidR="00763A94">
        <w:t> </w:t>
      </w:r>
      <w:r w:rsidR="00343563">
        <w:rPr>
          <w:sz w:val="20"/>
          <w:szCs w:val="20"/>
        </w:rPr>
        <w:t>explicitly</w:t>
      </w:r>
      <w:r w:rsidR="00691B07">
        <w:rPr>
          <w:sz w:val="20"/>
          <w:szCs w:val="20"/>
        </w:rPr>
        <w:t xml:space="preserve"> included macroeconomic random effects. We</w:t>
      </w:r>
      <w:r w:rsidR="00763A94">
        <w:rPr>
          <w:sz w:val="20"/>
          <w:szCs w:val="20"/>
        </w:rPr>
        <w:t xml:space="preserve"> address </w:t>
      </w:r>
      <w:r w:rsidR="00691B07">
        <w:rPr>
          <w:sz w:val="20"/>
          <w:szCs w:val="20"/>
        </w:rPr>
        <w:t xml:space="preserve">these issues </w:t>
      </w:r>
      <w:r w:rsidR="00763A94">
        <w:rPr>
          <w:sz w:val="20"/>
          <w:szCs w:val="20"/>
        </w:rPr>
        <w:t xml:space="preserve">in this work </w:t>
      </w:r>
      <w:r w:rsidR="00691B07">
        <w:rPr>
          <w:sz w:val="20"/>
          <w:szCs w:val="20"/>
        </w:rPr>
        <w:t>by considering 1</w:t>
      </w:r>
      <w:r w:rsidR="00763A94">
        <w:rPr>
          <w:sz w:val="20"/>
          <w:szCs w:val="20"/>
        </w:rPr>
        <w:t>,</w:t>
      </w:r>
      <w:r w:rsidR="00691B07">
        <w:rPr>
          <w:sz w:val="20"/>
          <w:szCs w:val="20"/>
        </w:rPr>
        <w:t xml:space="preserve">000 banks </w:t>
      </w:r>
      <w:r w:rsidR="009A2B79">
        <w:rPr>
          <w:sz w:val="20"/>
          <w:szCs w:val="20"/>
        </w:rPr>
        <w:t xml:space="preserve">using </w:t>
      </w:r>
      <w:r w:rsidR="00691B07">
        <w:rPr>
          <w:sz w:val="20"/>
          <w:szCs w:val="20"/>
        </w:rPr>
        <w:t>variables</w:t>
      </w:r>
      <w:r w:rsidR="00763A94">
        <w:rPr>
          <w:sz w:val="20"/>
          <w:szCs w:val="20"/>
        </w:rPr>
        <w:t xml:space="preserve"> </w:t>
      </w:r>
      <w:r w:rsidR="00B24D2C">
        <w:rPr>
          <w:sz w:val="20"/>
          <w:szCs w:val="20"/>
        </w:rPr>
        <w:t xml:space="preserve">strictly </w:t>
      </w:r>
      <w:r w:rsidR="00691B07">
        <w:rPr>
          <w:sz w:val="20"/>
          <w:szCs w:val="20"/>
        </w:rPr>
        <w:t>endogenous to the banks.</w:t>
      </w:r>
    </w:p>
    <w:p w14:paraId="0913A501" w14:textId="1EA57C60" w:rsidR="00F80986" w:rsidRDefault="00912523" w:rsidP="00912523">
      <w:pPr>
        <w:ind w:firstLine="360"/>
        <w:contextualSpacing/>
        <w:jc w:val="both"/>
        <w:rPr>
          <w:sz w:val="20"/>
          <w:szCs w:val="20"/>
        </w:rPr>
      </w:pPr>
      <w:r>
        <w:rPr>
          <w:sz w:val="20"/>
          <w:szCs w:val="20"/>
        </w:rPr>
        <w:t>Another drawback of these investigations is the use of</w:t>
      </w:r>
      <w:r w:rsidR="009A2B79">
        <w:rPr>
          <w:sz w:val="20"/>
          <w:szCs w:val="20"/>
        </w:rPr>
        <w:t xml:space="preserve"> </w:t>
      </w:r>
      <w:r>
        <w:rPr>
          <w:sz w:val="20"/>
          <w:szCs w:val="20"/>
        </w:rPr>
        <w:t xml:space="preserve">simple </w:t>
      </w:r>
      <w:r w:rsidR="004A56F4" w:rsidRPr="004650EA">
        <w:rPr>
          <w:sz w:val="20"/>
          <w:szCs w:val="20"/>
        </w:rPr>
        <w:t>classification</w:t>
      </w:r>
      <w:r>
        <w:rPr>
          <w:sz w:val="20"/>
          <w:szCs w:val="20"/>
        </w:rPr>
        <w:t xml:space="preserve"> techniques</w:t>
      </w:r>
      <w:r w:rsidR="004A56F4" w:rsidRPr="004650EA">
        <w:rPr>
          <w:sz w:val="20"/>
          <w:szCs w:val="20"/>
        </w:rPr>
        <w:t xml:space="preserve">. </w:t>
      </w:r>
      <w:r>
        <w:rPr>
          <w:sz w:val="20"/>
          <w:szCs w:val="20"/>
        </w:rPr>
        <w:t>S</w:t>
      </w:r>
      <w:r w:rsidR="004A56F4" w:rsidRPr="004650EA">
        <w:rPr>
          <w:sz w:val="20"/>
          <w:szCs w:val="20"/>
        </w:rPr>
        <w:t xml:space="preserve">tate-of-the-art </w:t>
      </w:r>
      <w:r w:rsidR="009A2B79">
        <w:rPr>
          <w:sz w:val="20"/>
          <w:szCs w:val="20"/>
        </w:rPr>
        <w:t xml:space="preserve">machine learning is based on </w:t>
      </w:r>
      <w:r w:rsidR="004A56F4" w:rsidRPr="004650EA">
        <w:rPr>
          <w:sz w:val="20"/>
          <w:szCs w:val="20"/>
        </w:rPr>
        <w:t>neural networks, particularly multi-layer networks known as deep learning</w:t>
      </w:r>
      <w:r w:rsidR="00F444EC">
        <w:rPr>
          <w:sz w:val="20"/>
          <w:szCs w:val="20"/>
        </w:rPr>
        <w:t> </w:t>
      </w:r>
      <w:r w:rsidR="00F444EC">
        <w:rPr>
          <w:sz w:val="20"/>
          <w:szCs w:val="20"/>
          <w:highlight w:val="yellow"/>
        </w:rPr>
        <w:fldChar w:fldCharType="begin"/>
      </w:r>
      <w:r w:rsidR="00F444EC">
        <w:rPr>
          <w:sz w:val="20"/>
          <w:szCs w:val="20"/>
        </w:rPr>
        <w:instrText xml:space="preserve"> REF _Ref512210662 \n </w:instrText>
      </w:r>
      <w:r w:rsidR="00F444EC">
        <w:rPr>
          <w:sz w:val="20"/>
          <w:szCs w:val="20"/>
          <w:highlight w:val="yellow"/>
        </w:rPr>
        <w:fldChar w:fldCharType="separate"/>
      </w:r>
      <w:r w:rsidR="00BB7995">
        <w:rPr>
          <w:sz w:val="20"/>
          <w:szCs w:val="20"/>
        </w:rPr>
        <w:t>[8]</w:t>
      </w:r>
      <w:r w:rsidR="00F444EC">
        <w:rPr>
          <w:sz w:val="20"/>
          <w:szCs w:val="20"/>
          <w:highlight w:val="yellow"/>
        </w:rPr>
        <w:fldChar w:fldCharType="end"/>
      </w:r>
      <w:r w:rsidR="00F444EC">
        <w:rPr>
          <w:sz w:val="20"/>
          <w:szCs w:val="20"/>
        </w:rPr>
        <w:t xml:space="preserve">. </w:t>
      </w:r>
      <w:r w:rsidR="004A56F4" w:rsidRPr="004650EA">
        <w:rPr>
          <w:sz w:val="20"/>
          <w:szCs w:val="20"/>
        </w:rPr>
        <w:t xml:space="preserve">The </w:t>
      </w:r>
      <w:r>
        <w:rPr>
          <w:sz w:val="20"/>
          <w:szCs w:val="20"/>
        </w:rPr>
        <w:t xml:space="preserve">sparsely-connected </w:t>
      </w:r>
      <w:r w:rsidR="004A56F4" w:rsidRPr="004650EA">
        <w:rPr>
          <w:sz w:val="20"/>
          <w:szCs w:val="20"/>
        </w:rPr>
        <w:t xml:space="preserve">deep learning technique </w:t>
      </w:r>
      <w:r w:rsidR="009A2B79">
        <w:rPr>
          <w:sz w:val="20"/>
          <w:szCs w:val="20"/>
        </w:rPr>
        <w:t xml:space="preserve">known as a </w:t>
      </w:r>
      <w:r w:rsidR="004A56F4" w:rsidRPr="004650EA">
        <w:rPr>
          <w:sz w:val="20"/>
          <w:szCs w:val="20"/>
        </w:rPr>
        <w:t>convolutional neural network</w:t>
      </w:r>
      <w:r w:rsidR="009A2B79">
        <w:rPr>
          <w:sz w:val="20"/>
          <w:szCs w:val="20"/>
        </w:rPr>
        <w:t xml:space="preserve"> </w:t>
      </w:r>
      <w:r w:rsidR="004A56F4" w:rsidRPr="004650EA">
        <w:rPr>
          <w:sz w:val="20"/>
          <w:szCs w:val="20"/>
        </w:rPr>
        <w:t xml:space="preserve">(CNN) has the ability to </w:t>
      </w:r>
      <w:r w:rsidR="009A2B79">
        <w:rPr>
          <w:sz w:val="20"/>
          <w:szCs w:val="20"/>
        </w:rPr>
        <w:t xml:space="preserve">discover relationships </w:t>
      </w:r>
      <w:r w:rsidR="004A56F4" w:rsidRPr="004650EA">
        <w:rPr>
          <w:sz w:val="20"/>
          <w:szCs w:val="20"/>
        </w:rPr>
        <w:t xml:space="preserve">within </w:t>
      </w:r>
      <w:r w:rsidR="009A2B79">
        <w:rPr>
          <w:sz w:val="20"/>
          <w:szCs w:val="20"/>
        </w:rPr>
        <w:t xml:space="preserve">the </w:t>
      </w:r>
      <w:r w:rsidR="004A56F4" w:rsidRPr="004650EA">
        <w:rPr>
          <w:sz w:val="20"/>
          <w:szCs w:val="20"/>
        </w:rPr>
        <w:t xml:space="preserve">data, </w:t>
      </w:r>
      <w:r w:rsidR="009A2B79">
        <w:rPr>
          <w:sz w:val="20"/>
          <w:szCs w:val="20"/>
        </w:rPr>
        <w:t xml:space="preserve">including </w:t>
      </w:r>
      <w:r w:rsidR="004A56F4" w:rsidRPr="004650EA">
        <w:rPr>
          <w:sz w:val="20"/>
          <w:szCs w:val="20"/>
        </w:rPr>
        <w:t xml:space="preserve">correlations </w:t>
      </w:r>
      <w:r w:rsidR="004A56F4">
        <w:rPr>
          <w:sz w:val="20"/>
          <w:szCs w:val="20"/>
        </w:rPr>
        <w:t xml:space="preserve">not </w:t>
      </w:r>
      <w:r w:rsidR="009A2B79">
        <w:rPr>
          <w:sz w:val="20"/>
          <w:szCs w:val="20"/>
        </w:rPr>
        <w:t xml:space="preserve">apparent to </w:t>
      </w:r>
      <w:r>
        <w:rPr>
          <w:sz w:val="20"/>
          <w:szCs w:val="20"/>
        </w:rPr>
        <w:t>the investigator</w:t>
      </w:r>
      <w:r w:rsidR="00F45F6D">
        <w:rPr>
          <w:sz w:val="20"/>
          <w:szCs w:val="20"/>
        </w:rPr>
        <w:t xml:space="preserve"> </w:t>
      </w:r>
      <w:r w:rsidR="00F45F6D">
        <w:rPr>
          <w:sz w:val="20"/>
          <w:szCs w:val="20"/>
        </w:rPr>
        <w:fldChar w:fldCharType="begin"/>
      </w:r>
      <w:r w:rsidR="00F45F6D">
        <w:rPr>
          <w:sz w:val="20"/>
          <w:szCs w:val="20"/>
        </w:rPr>
        <w:instrText xml:space="preserve"> REF _Ref513798495 \r </w:instrText>
      </w:r>
      <w:r w:rsidR="00F45F6D">
        <w:rPr>
          <w:sz w:val="20"/>
          <w:szCs w:val="20"/>
        </w:rPr>
        <w:fldChar w:fldCharType="separate"/>
      </w:r>
      <w:r w:rsidR="00BB7995">
        <w:rPr>
          <w:sz w:val="20"/>
          <w:szCs w:val="20"/>
        </w:rPr>
        <w:t>[9]</w:t>
      </w:r>
      <w:r w:rsidR="00F45F6D">
        <w:rPr>
          <w:sz w:val="20"/>
          <w:szCs w:val="20"/>
        </w:rPr>
        <w:fldChar w:fldCharType="end"/>
      </w:r>
      <w:r>
        <w:rPr>
          <w:sz w:val="20"/>
          <w:szCs w:val="20"/>
        </w:rPr>
        <w:t>.</w:t>
      </w:r>
    </w:p>
    <w:p w14:paraId="51ADDC39" w14:textId="76A4B1BC" w:rsidR="004A56F4" w:rsidRDefault="004A56F4" w:rsidP="00EB710F">
      <w:pPr>
        <w:ind w:firstLine="360"/>
        <w:contextualSpacing/>
        <w:jc w:val="both"/>
        <w:rPr>
          <w:sz w:val="20"/>
          <w:szCs w:val="20"/>
        </w:rPr>
      </w:pPr>
      <w:r w:rsidRPr="004650EA">
        <w:rPr>
          <w:sz w:val="20"/>
          <w:szCs w:val="20"/>
        </w:rPr>
        <w:t xml:space="preserve">This is a clear advantage over regression with interaction terms, where investigators must determine </w:t>
      </w:r>
      <w:r w:rsidRPr="004650EA">
        <w:rPr>
          <w:sz w:val="20"/>
          <w:szCs w:val="20"/>
        </w:rPr>
        <w:lastRenderedPageBreak/>
        <w:t xml:space="preserve">which </w:t>
      </w:r>
      <w:r>
        <w:rPr>
          <w:sz w:val="20"/>
          <w:szCs w:val="20"/>
        </w:rPr>
        <w:t>interactions</w:t>
      </w:r>
      <w:r w:rsidRPr="004650EA">
        <w:rPr>
          <w:sz w:val="20"/>
          <w:szCs w:val="20"/>
        </w:rPr>
        <w:t xml:space="preserve"> to explore. For instance, Lopez </w:t>
      </w:r>
      <w:r w:rsidR="00267ABC">
        <w:rPr>
          <w:sz w:val="20"/>
          <w:szCs w:val="20"/>
        </w:rPr>
        <w:fldChar w:fldCharType="begin"/>
      </w:r>
      <w:r w:rsidR="00267ABC">
        <w:rPr>
          <w:sz w:val="20"/>
          <w:szCs w:val="20"/>
        </w:rPr>
        <w:instrText xml:space="preserve"> REF _Ref512209079 \r </w:instrText>
      </w:r>
      <w:r w:rsidR="00267ABC">
        <w:rPr>
          <w:sz w:val="20"/>
          <w:szCs w:val="20"/>
        </w:rPr>
        <w:fldChar w:fldCharType="separate"/>
      </w:r>
      <w:r w:rsidR="00BB7995">
        <w:rPr>
          <w:sz w:val="20"/>
          <w:szCs w:val="20"/>
        </w:rPr>
        <w:t>[10]</w:t>
      </w:r>
      <w:r w:rsidR="00267ABC">
        <w:rPr>
          <w:sz w:val="20"/>
          <w:szCs w:val="20"/>
        </w:rPr>
        <w:fldChar w:fldCharType="end"/>
      </w:r>
      <w:r w:rsidR="00763A94">
        <w:rPr>
          <w:sz w:val="20"/>
          <w:szCs w:val="20"/>
        </w:rPr>
        <w:t xml:space="preserve"> </w:t>
      </w:r>
      <w:r>
        <w:rPr>
          <w:sz w:val="20"/>
          <w:szCs w:val="20"/>
        </w:rPr>
        <w:t>investigated</w:t>
      </w:r>
      <w:r w:rsidRPr="004650EA">
        <w:rPr>
          <w:sz w:val="20"/>
          <w:szCs w:val="20"/>
        </w:rPr>
        <w:t xml:space="preserve"> EEG normal/abnormal binary classification using random forest (RF) and k-nearest neighbors (kNN), yet she achieved superior performance when CNN</w:t>
      </w:r>
      <w:r w:rsidR="00763A94">
        <w:rPr>
          <w:sz w:val="20"/>
          <w:szCs w:val="20"/>
        </w:rPr>
        <w:t xml:space="preserve"> was used </w:t>
      </w:r>
      <w:r w:rsidR="00267ABC">
        <w:rPr>
          <w:sz w:val="20"/>
          <w:szCs w:val="20"/>
        </w:rPr>
        <w:fldChar w:fldCharType="begin"/>
      </w:r>
      <w:r w:rsidR="00267ABC">
        <w:rPr>
          <w:sz w:val="20"/>
          <w:szCs w:val="20"/>
        </w:rPr>
        <w:instrText xml:space="preserve"> REF _Ref513798495 \r </w:instrText>
      </w:r>
      <w:r w:rsidR="00267ABC">
        <w:rPr>
          <w:sz w:val="20"/>
          <w:szCs w:val="20"/>
        </w:rPr>
        <w:fldChar w:fldCharType="separate"/>
      </w:r>
      <w:r w:rsidR="00BB7995">
        <w:rPr>
          <w:sz w:val="20"/>
          <w:szCs w:val="20"/>
        </w:rPr>
        <w:t>[9]</w:t>
      </w:r>
      <w:r w:rsidR="00267ABC">
        <w:rPr>
          <w:sz w:val="20"/>
          <w:szCs w:val="20"/>
        </w:rPr>
        <w:fldChar w:fldCharType="end"/>
      </w:r>
      <w:r w:rsidR="00C12FA5">
        <w:rPr>
          <w:sz w:val="20"/>
          <w:szCs w:val="20"/>
        </w:rPr>
        <w:t>.</w:t>
      </w:r>
    </w:p>
    <w:p w14:paraId="15E64DC7" w14:textId="111E80F9" w:rsidR="004A56F4" w:rsidRPr="004650EA" w:rsidRDefault="004A56F4" w:rsidP="00EB710F">
      <w:pPr>
        <w:ind w:firstLine="360"/>
        <w:contextualSpacing/>
        <w:jc w:val="both"/>
        <w:rPr>
          <w:sz w:val="20"/>
          <w:szCs w:val="20"/>
        </w:rPr>
      </w:pPr>
      <w:r w:rsidRPr="0067287D">
        <w:rPr>
          <w:sz w:val="20"/>
          <w:szCs w:val="20"/>
        </w:rPr>
        <w:t>Deep learning has been used in finance</w:t>
      </w:r>
      <w:r w:rsidR="00763A94">
        <w:rPr>
          <w:sz w:val="20"/>
          <w:szCs w:val="20"/>
        </w:rPr>
        <w:t> </w:t>
      </w:r>
      <w:r w:rsidR="00763A94">
        <w:rPr>
          <w:sz w:val="20"/>
          <w:szCs w:val="20"/>
        </w:rPr>
        <w:fldChar w:fldCharType="begin"/>
      </w:r>
      <w:r w:rsidR="00763A94">
        <w:rPr>
          <w:sz w:val="20"/>
          <w:szCs w:val="20"/>
        </w:rPr>
        <w:instrText xml:space="preserve"> REF _Ref512209124 \n </w:instrText>
      </w:r>
      <w:r w:rsidR="00763A94">
        <w:rPr>
          <w:sz w:val="20"/>
          <w:szCs w:val="20"/>
        </w:rPr>
        <w:fldChar w:fldCharType="separate"/>
      </w:r>
      <w:r w:rsidR="00BB7995">
        <w:rPr>
          <w:sz w:val="20"/>
          <w:szCs w:val="20"/>
        </w:rPr>
        <w:t>[11]</w:t>
      </w:r>
      <w:r w:rsidR="00763A94">
        <w:rPr>
          <w:sz w:val="20"/>
          <w:szCs w:val="20"/>
        </w:rPr>
        <w:fldChar w:fldCharType="end"/>
      </w:r>
      <w:r w:rsidRPr="0067287D">
        <w:rPr>
          <w:sz w:val="20"/>
          <w:szCs w:val="20"/>
        </w:rPr>
        <w:t>, but for bankruptcy prediction, less advanced techniques are emphasized in the literature</w:t>
      </w:r>
      <w:r w:rsidR="00763A94">
        <w:rPr>
          <w:sz w:val="20"/>
          <w:szCs w:val="20"/>
        </w:rPr>
        <w:t> </w:t>
      </w:r>
      <w:r w:rsidR="00763A94">
        <w:rPr>
          <w:sz w:val="20"/>
          <w:szCs w:val="20"/>
        </w:rPr>
        <w:fldChar w:fldCharType="begin"/>
      </w:r>
      <w:r w:rsidR="00763A94">
        <w:rPr>
          <w:sz w:val="20"/>
          <w:szCs w:val="20"/>
        </w:rPr>
        <w:instrText xml:space="preserve"> REF _Ref512208744 \n </w:instrText>
      </w:r>
      <w:r w:rsidR="00763A94">
        <w:rPr>
          <w:sz w:val="20"/>
          <w:szCs w:val="20"/>
        </w:rPr>
        <w:fldChar w:fldCharType="separate"/>
      </w:r>
      <w:r w:rsidR="00BB7995">
        <w:rPr>
          <w:sz w:val="20"/>
          <w:szCs w:val="20"/>
        </w:rPr>
        <w:t>[4]</w:t>
      </w:r>
      <w:r w:rsidR="00763A94">
        <w:rPr>
          <w:sz w:val="20"/>
          <w:szCs w:val="20"/>
        </w:rPr>
        <w:fldChar w:fldCharType="end"/>
      </w:r>
      <w:r w:rsidR="00763A94">
        <w:rPr>
          <w:sz w:val="20"/>
          <w:szCs w:val="20"/>
        </w:rPr>
        <w:t>-</w:t>
      </w:r>
      <w:r w:rsidR="00763A94">
        <w:rPr>
          <w:sz w:val="20"/>
          <w:szCs w:val="20"/>
        </w:rPr>
        <w:fldChar w:fldCharType="begin"/>
      </w:r>
      <w:r w:rsidR="00763A94">
        <w:rPr>
          <w:sz w:val="20"/>
          <w:szCs w:val="20"/>
        </w:rPr>
        <w:instrText xml:space="preserve"> REF _Ref512208728 \n </w:instrText>
      </w:r>
      <w:r w:rsidR="00763A94">
        <w:rPr>
          <w:sz w:val="20"/>
          <w:szCs w:val="20"/>
        </w:rPr>
        <w:fldChar w:fldCharType="separate"/>
      </w:r>
      <w:r w:rsidR="00BB7995">
        <w:rPr>
          <w:sz w:val="20"/>
          <w:szCs w:val="20"/>
        </w:rPr>
        <w:t>[7]</w:t>
      </w:r>
      <w:r w:rsidR="00763A94">
        <w:rPr>
          <w:sz w:val="20"/>
          <w:szCs w:val="20"/>
        </w:rPr>
        <w:fldChar w:fldCharType="end"/>
      </w:r>
      <w:r w:rsidRPr="0067287D">
        <w:rPr>
          <w:sz w:val="20"/>
          <w:szCs w:val="20"/>
        </w:rPr>
        <w:t xml:space="preserve">. Moreover, most publications address bankruptcy in general, not </w:t>
      </w:r>
      <w:r w:rsidR="00763A94">
        <w:rPr>
          <w:sz w:val="20"/>
          <w:szCs w:val="20"/>
        </w:rPr>
        <w:t xml:space="preserve">endogenous bank health for a specific bank. </w:t>
      </w:r>
      <w:r w:rsidR="000660B7">
        <w:rPr>
          <w:sz w:val="20"/>
          <w:szCs w:val="20"/>
        </w:rPr>
        <w:t>Addo</w:t>
      </w:r>
      <w:r w:rsidR="00763A94">
        <w:rPr>
          <w:sz w:val="20"/>
          <w:szCs w:val="20"/>
        </w:rPr>
        <w:t> </w:t>
      </w:r>
      <w:r w:rsidR="00763A94">
        <w:rPr>
          <w:sz w:val="20"/>
          <w:szCs w:val="20"/>
        </w:rPr>
        <w:fldChar w:fldCharType="begin"/>
      </w:r>
      <w:r w:rsidR="00763A94">
        <w:rPr>
          <w:sz w:val="20"/>
          <w:szCs w:val="20"/>
        </w:rPr>
        <w:instrText xml:space="preserve"> REF _Ref512209216 \n </w:instrText>
      </w:r>
      <w:r w:rsidR="00763A94">
        <w:rPr>
          <w:sz w:val="20"/>
          <w:szCs w:val="20"/>
        </w:rPr>
        <w:fldChar w:fldCharType="separate"/>
      </w:r>
      <w:r w:rsidR="00BB7995">
        <w:rPr>
          <w:sz w:val="20"/>
          <w:szCs w:val="20"/>
        </w:rPr>
        <w:t>[12]</w:t>
      </w:r>
      <w:r w:rsidR="00763A94">
        <w:rPr>
          <w:sz w:val="20"/>
          <w:szCs w:val="20"/>
        </w:rPr>
        <w:fldChar w:fldCharType="end"/>
      </w:r>
      <w:r w:rsidR="00C12FA5">
        <w:rPr>
          <w:sz w:val="20"/>
          <w:szCs w:val="20"/>
        </w:rPr>
        <w:t xml:space="preserve"> </w:t>
      </w:r>
      <w:r w:rsidR="000660B7">
        <w:rPr>
          <w:sz w:val="20"/>
          <w:szCs w:val="20"/>
        </w:rPr>
        <w:t>showed</w:t>
      </w:r>
      <w:r w:rsidRPr="0067287D">
        <w:rPr>
          <w:sz w:val="20"/>
          <w:szCs w:val="20"/>
        </w:rPr>
        <w:t xml:space="preserve"> that deep learning could be used for determining credit risk (essentially the goal of this paper), but he did not </w:t>
      </w:r>
      <w:r w:rsidR="00763A94">
        <w:rPr>
          <w:sz w:val="20"/>
          <w:szCs w:val="20"/>
        </w:rPr>
        <w:t xml:space="preserve">demonstrate </w:t>
      </w:r>
      <w:r w:rsidRPr="0067287D">
        <w:rPr>
          <w:sz w:val="20"/>
          <w:szCs w:val="20"/>
        </w:rPr>
        <w:t xml:space="preserve">the technique on </w:t>
      </w:r>
      <w:r w:rsidR="000660B7">
        <w:rPr>
          <w:sz w:val="20"/>
          <w:szCs w:val="20"/>
        </w:rPr>
        <w:t>bank</w:t>
      </w:r>
      <w:r w:rsidR="00763A94">
        <w:rPr>
          <w:sz w:val="20"/>
          <w:szCs w:val="20"/>
        </w:rPr>
        <w:t xml:space="preserve"> </w:t>
      </w:r>
      <w:r w:rsidRPr="0067287D">
        <w:rPr>
          <w:sz w:val="20"/>
          <w:szCs w:val="20"/>
        </w:rPr>
        <w:t>data</w:t>
      </w:r>
      <w:r w:rsidR="00763A94">
        <w:rPr>
          <w:sz w:val="20"/>
          <w:szCs w:val="20"/>
        </w:rPr>
        <w:t xml:space="preserve">. </w:t>
      </w:r>
      <w:r w:rsidRPr="0067287D">
        <w:rPr>
          <w:sz w:val="20"/>
          <w:szCs w:val="20"/>
        </w:rPr>
        <w:t>Tam</w:t>
      </w:r>
      <w:r w:rsidR="00763A94">
        <w:rPr>
          <w:sz w:val="20"/>
          <w:szCs w:val="20"/>
        </w:rPr>
        <w:t> </w:t>
      </w:r>
      <w:r w:rsidR="00763A94">
        <w:rPr>
          <w:sz w:val="20"/>
          <w:szCs w:val="20"/>
        </w:rPr>
        <w:fldChar w:fldCharType="begin"/>
      </w:r>
      <w:r w:rsidR="00763A94">
        <w:rPr>
          <w:sz w:val="20"/>
          <w:szCs w:val="20"/>
        </w:rPr>
        <w:instrText xml:space="preserve"> REF _Ref512209274 \n </w:instrText>
      </w:r>
      <w:r w:rsidR="00763A94">
        <w:rPr>
          <w:sz w:val="20"/>
          <w:szCs w:val="20"/>
        </w:rPr>
        <w:fldChar w:fldCharType="separate"/>
      </w:r>
      <w:r w:rsidR="00BB7995">
        <w:rPr>
          <w:sz w:val="20"/>
          <w:szCs w:val="20"/>
        </w:rPr>
        <w:t>[13]</w:t>
      </w:r>
      <w:r w:rsidR="00763A94">
        <w:rPr>
          <w:sz w:val="20"/>
          <w:szCs w:val="20"/>
        </w:rPr>
        <w:fldChar w:fldCharType="end"/>
      </w:r>
      <w:r w:rsidR="00763A94">
        <w:rPr>
          <w:sz w:val="20"/>
          <w:szCs w:val="20"/>
        </w:rPr>
        <w:fldChar w:fldCharType="begin"/>
      </w:r>
      <w:r w:rsidR="00763A94">
        <w:rPr>
          <w:sz w:val="20"/>
          <w:szCs w:val="20"/>
        </w:rPr>
        <w:instrText xml:space="preserve"> REF _Ref512209277 \n </w:instrText>
      </w:r>
      <w:r w:rsidR="00763A94">
        <w:rPr>
          <w:sz w:val="20"/>
          <w:szCs w:val="20"/>
        </w:rPr>
        <w:fldChar w:fldCharType="separate"/>
      </w:r>
      <w:r w:rsidR="00BB7995">
        <w:rPr>
          <w:sz w:val="20"/>
          <w:szCs w:val="20"/>
        </w:rPr>
        <w:t>[14]</w:t>
      </w:r>
      <w:r w:rsidR="00763A94">
        <w:rPr>
          <w:sz w:val="20"/>
          <w:szCs w:val="20"/>
        </w:rPr>
        <w:fldChar w:fldCharType="end"/>
      </w:r>
      <w:r w:rsidR="00763A94">
        <w:rPr>
          <w:sz w:val="20"/>
          <w:szCs w:val="20"/>
        </w:rPr>
        <w:t xml:space="preserve"> developed a </w:t>
      </w:r>
      <w:r w:rsidRPr="0067287D">
        <w:rPr>
          <w:sz w:val="20"/>
          <w:szCs w:val="20"/>
        </w:rPr>
        <w:t>neural network</w:t>
      </w:r>
      <w:r w:rsidR="00763A94">
        <w:rPr>
          <w:sz w:val="20"/>
          <w:szCs w:val="20"/>
        </w:rPr>
        <w:t xml:space="preserve">-based model </w:t>
      </w:r>
      <w:r w:rsidRPr="0067287D">
        <w:rPr>
          <w:sz w:val="20"/>
          <w:szCs w:val="20"/>
        </w:rPr>
        <w:t xml:space="preserve">to determine bank bankruptcy risk, but this was not </w:t>
      </w:r>
      <w:r w:rsidR="00763A94">
        <w:rPr>
          <w:sz w:val="20"/>
          <w:szCs w:val="20"/>
        </w:rPr>
        <w:t xml:space="preserve">a </w:t>
      </w:r>
      <w:r w:rsidRPr="0067287D">
        <w:rPr>
          <w:sz w:val="20"/>
          <w:szCs w:val="20"/>
        </w:rPr>
        <w:t xml:space="preserve">modern </w:t>
      </w:r>
      <w:r w:rsidR="000619F7">
        <w:rPr>
          <w:sz w:val="20"/>
          <w:szCs w:val="20"/>
        </w:rPr>
        <w:t>CNN</w:t>
      </w:r>
      <w:r w:rsidR="00763A94">
        <w:rPr>
          <w:sz w:val="20"/>
          <w:szCs w:val="20"/>
        </w:rPr>
        <w:t xml:space="preserve"> architecture</w:t>
      </w:r>
      <w:r w:rsidR="000619F7">
        <w:rPr>
          <w:sz w:val="20"/>
          <w:szCs w:val="20"/>
        </w:rPr>
        <w:t>.</w:t>
      </w:r>
      <w:r w:rsidRPr="0067287D">
        <w:rPr>
          <w:sz w:val="20"/>
          <w:szCs w:val="20"/>
        </w:rPr>
        <w:t xml:space="preserve"> </w:t>
      </w:r>
    </w:p>
    <w:p w14:paraId="3F428151" w14:textId="6056E171" w:rsidR="00F74A3E" w:rsidRDefault="00F74A3E" w:rsidP="00EB710F">
      <w:pPr>
        <w:ind w:firstLine="360"/>
        <w:contextualSpacing/>
        <w:jc w:val="both"/>
        <w:rPr>
          <w:sz w:val="20"/>
          <w:szCs w:val="20"/>
        </w:rPr>
      </w:pPr>
      <w:r>
        <w:rPr>
          <w:sz w:val="20"/>
          <w:szCs w:val="20"/>
        </w:rPr>
        <w:t>The goal in this work is to assess baseline performance of deep learning systems on operational banking data provided by the U.S. Federal Government </w:t>
      </w:r>
      <w:r>
        <w:rPr>
          <w:sz w:val="20"/>
          <w:szCs w:val="20"/>
        </w:rPr>
        <w:fldChar w:fldCharType="begin"/>
      </w:r>
      <w:r>
        <w:rPr>
          <w:sz w:val="20"/>
          <w:szCs w:val="20"/>
        </w:rPr>
        <w:instrText xml:space="preserve"> REF _Ref512154302 \n </w:instrText>
      </w:r>
      <w:r>
        <w:rPr>
          <w:sz w:val="20"/>
          <w:szCs w:val="20"/>
        </w:rPr>
        <w:fldChar w:fldCharType="separate"/>
      </w:r>
      <w:r w:rsidR="00BB7995">
        <w:rPr>
          <w:sz w:val="20"/>
          <w:szCs w:val="20"/>
        </w:rPr>
        <w:t>[2]</w:t>
      </w:r>
      <w:r>
        <w:rPr>
          <w:sz w:val="20"/>
          <w:szCs w:val="20"/>
        </w:rPr>
        <w:fldChar w:fldCharType="end"/>
      </w:r>
      <w:r>
        <w:rPr>
          <w:sz w:val="20"/>
          <w:szCs w:val="20"/>
        </w:rPr>
        <w:t>. Operational data contain many forms of imperfection that make it extremely difficult to develop robust machine learning systems. G</w:t>
      </w:r>
      <w:r w:rsidR="004A56F4">
        <w:rPr>
          <w:sz w:val="20"/>
          <w:szCs w:val="20"/>
        </w:rPr>
        <w:t xml:space="preserve">iven a consistent number of reporting periods, </w:t>
      </w:r>
      <w:r>
        <w:rPr>
          <w:sz w:val="20"/>
          <w:szCs w:val="20"/>
        </w:rPr>
        <w:t xml:space="preserve">our goal is to </w:t>
      </w:r>
      <w:r w:rsidR="004A56F4">
        <w:rPr>
          <w:sz w:val="20"/>
          <w:szCs w:val="20"/>
        </w:rPr>
        <w:t>predict if the bank w</w:t>
      </w:r>
      <w:r w:rsidR="00562285">
        <w:rPr>
          <w:sz w:val="20"/>
          <w:szCs w:val="20"/>
        </w:rPr>
        <w:t>ill</w:t>
      </w:r>
      <w:r w:rsidR="004A56F4">
        <w:rPr>
          <w:sz w:val="20"/>
          <w:szCs w:val="20"/>
        </w:rPr>
        <w:t xml:space="preserve"> fail before the end of the next quarter, only considering the fixed effects of the data from the bank, not random </w:t>
      </w:r>
      <w:r>
        <w:rPr>
          <w:sz w:val="20"/>
          <w:szCs w:val="20"/>
        </w:rPr>
        <w:t>effects of exogenous variables.</w:t>
      </w:r>
    </w:p>
    <w:p w14:paraId="2C4FEE4F" w14:textId="1BCD8255" w:rsidR="00A35DBE" w:rsidRDefault="0052497C" w:rsidP="0052497C">
      <w:pPr>
        <w:ind w:firstLine="360"/>
        <w:contextualSpacing/>
        <w:jc w:val="both"/>
        <w:rPr>
          <w:sz w:val="20"/>
          <w:szCs w:val="20"/>
        </w:rPr>
      </w:pPr>
      <w:r w:rsidRPr="002C7075">
        <w:rPr>
          <w:sz w:val="20"/>
          <w:szCs w:val="20"/>
        </w:rPr>
        <w:t xml:space="preserve">This is in contrast to previous work on bank failure and bankruptcy prediction, which has incorporated, either explicitly </w:t>
      </w:r>
      <w:r w:rsidR="008E3354">
        <w:rPr>
          <w:sz w:val="20"/>
          <w:szCs w:val="20"/>
        </w:rPr>
        <w:fldChar w:fldCharType="begin"/>
      </w:r>
      <w:r w:rsidR="008E3354">
        <w:rPr>
          <w:sz w:val="20"/>
          <w:szCs w:val="20"/>
        </w:rPr>
        <w:instrText xml:space="preserve"> REF _Ref512208725 \n </w:instrText>
      </w:r>
      <w:r w:rsidR="008E3354">
        <w:rPr>
          <w:sz w:val="20"/>
          <w:szCs w:val="20"/>
        </w:rPr>
        <w:fldChar w:fldCharType="separate"/>
      </w:r>
      <w:r w:rsidR="00BB7995">
        <w:rPr>
          <w:sz w:val="20"/>
          <w:szCs w:val="20"/>
        </w:rPr>
        <w:t>[6]</w:t>
      </w:r>
      <w:r w:rsidR="008E3354">
        <w:rPr>
          <w:sz w:val="20"/>
          <w:szCs w:val="20"/>
        </w:rPr>
        <w:fldChar w:fldCharType="end"/>
      </w:r>
      <w:r w:rsidRPr="002C7075">
        <w:rPr>
          <w:sz w:val="20"/>
          <w:szCs w:val="20"/>
        </w:rPr>
        <w:t xml:space="preserve"> or implicitly </w:t>
      </w:r>
      <w:r w:rsidR="008E3354">
        <w:rPr>
          <w:sz w:val="20"/>
          <w:szCs w:val="20"/>
        </w:rPr>
        <w:fldChar w:fldCharType="begin"/>
      </w:r>
      <w:r w:rsidR="008E3354">
        <w:rPr>
          <w:sz w:val="20"/>
          <w:szCs w:val="20"/>
        </w:rPr>
        <w:instrText xml:space="preserve"> REF _Ref512208744 \n </w:instrText>
      </w:r>
      <w:r w:rsidR="008E3354">
        <w:rPr>
          <w:sz w:val="20"/>
          <w:szCs w:val="20"/>
        </w:rPr>
        <w:fldChar w:fldCharType="separate"/>
      </w:r>
      <w:r w:rsidR="00BB7995">
        <w:rPr>
          <w:sz w:val="20"/>
          <w:szCs w:val="20"/>
        </w:rPr>
        <w:t>[4]</w:t>
      </w:r>
      <w:r w:rsidR="008E3354">
        <w:rPr>
          <w:sz w:val="20"/>
          <w:szCs w:val="20"/>
        </w:rPr>
        <w:fldChar w:fldCharType="end"/>
      </w:r>
      <w:r w:rsidR="008E3354">
        <w:rPr>
          <w:sz w:val="20"/>
          <w:szCs w:val="20"/>
        </w:rPr>
        <w:fldChar w:fldCharType="begin"/>
      </w:r>
      <w:r w:rsidR="008E3354">
        <w:rPr>
          <w:sz w:val="20"/>
          <w:szCs w:val="20"/>
        </w:rPr>
        <w:instrText xml:space="preserve"> REF _Ref512208764 \n </w:instrText>
      </w:r>
      <w:r w:rsidR="008E3354">
        <w:rPr>
          <w:sz w:val="20"/>
          <w:szCs w:val="20"/>
        </w:rPr>
        <w:fldChar w:fldCharType="separate"/>
      </w:r>
      <w:r w:rsidR="00BB7995">
        <w:rPr>
          <w:sz w:val="20"/>
          <w:szCs w:val="20"/>
        </w:rPr>
        <w:t>[5]</w:t>
      </w:r>
      <w:r w:rsidR="008E3354">
        <w:rPr>
          <w:sz w:val="20"/>
          <w:szCs w:val="20"/>
        </w:rPr>
        <w:fldChar w:fldCharType="end"/>
      </w:r>
      <w:r w:rsidR="008E3354">
        <w:rPr>
          <w:sz w:val="20"/>
          <w:szCs w:val="20"/>
        </w:rPr>
        <w:fldChar w:fldCharType="begin"/>
      </w:r>
      <w:r w:rsidR="008E3354">
        <w:rPr>
          <w:sz w:val="20"/>
          <w:szCs w:val="20"/>
        </w:rPr>
        <w:instrText xml:space="preserve"> REF _Ref512208728 \n </w:instrText>
      </w:r>
      <w:r w:rsidR="008E3354">
        <w:rPr>
          <w:sz w:val="20"/>
          <w:szCs w:val="20"/>
        </w:rPr>
        <w:fldChar w:fldCharType="separate"/>
      </w:r>
      <w:r w:rsidR="00BB7995">
        <w:rPr>
          <w:sz w:val="20"/>
          <w:szCs w:val="20"/>
        </w:rPr>
        <w:t>[7]</w:t>
      </w:r>
      <w:r w:rsidR="008E3354">
        <w:rPr>
          <w:sz w:val="20"/>
          <w:szCs w:val="20"/>
        </w:rPr>
        <w:fldChar w:fldCharType="end"/>
      </w:r>
      <w:r w:rsidRPr="002C7075">
        <w:rPr>
          <w:sz w:val="20"/>
          <w:szCs w:val="20"/>
        </w:rPr>
        <w:t xml:space="preserve">, exogenous time and macroeconomic effects. Further, </w:t>
      </w:r>
      <w:r w:rsidR="00C241B4">
        <w:rPr>
          <w:sz w:val="20"/>
          <w:szCs w:val="20"/>
        </w:rPr>
        <w:t>our</w:t>
      </w:r>
      <w:r w:rsidRPr="002C7075">
        <w:rPr>
          <w:sz w:val="20"/>
          <w:szCs w:val="20"/>
        </w:rPr>
        <w:t xml:space="preserve"> work does not develop an early warning system of any particular duration</w:t>
      </w:r>
      <w:r w:rsidR="009E0C96">
        <w:rPr>
          <w:sz w:val="20"/>
          <w:szCs w:val="20"/>
        </w:rPr>
        <w:t xml:space="preserve"> </w:t>
      </w:r>
      <w:r w:rsidR="008E3354">
        <w:rPr>
          <w:sz w:val="20"/>
          <w:szCs w:val="20"/>
        </w:rPr>
        <w:fldChar w:fldCharType="begin"/>
      </w:r>
      <w:r w:rsidR="008E3354">
        <w:rPr>
          <w:sz w:val="20"/>
          <w:szCs w:val="20"/>
        </w:rPr>
        <w:instrText xml:space="preserve"> REF _Ref512208728 \n </w:instrText>
      </w:r>
      <w:r w:rsidR="008E3354">
        <w:rPr>
          <w:sz w:val="20"/>
          <w:szCs w:val="20"/>
        </w:rPr>
        <w:fldChar w:fldCharType="separate"/>
      </w:r>
      <w:r w:rsidR="00BB7995">
        <w:rPr>
          <w:sz w:val="20"/>
          <w:szCs w:val="20"/>
        </w:rPr>
        <w:t>[7]</w:t>
      </w:r>
      <w:r w:rsidR="008E3354">
        <w:rPr>
          <w:sz w:val="20"/>
          <w:szCs w:val="20"/>
        </w:rPr>
        <w:fldChar w:fldCharType="end"/>
      </w:r>
      <w:r w:rsidRPr="002C7075">
        <w:rPr>
          <w:sz w:val="20"/>
          <w:szCs w:val="20"/>
        </w:rPr>
        <w:t xml:space="preserve">, only whether or </w:t>
      </w:r>
      <w:r w:rsidR="00B23093">
        <w:rPr>
          <w:sz w:val="20"/>
          <w:szCs w:val="20"/>
        </w:rPr>
        <w:t xml:space="preserve">not </w:t>
      </w:r>
      <w:r w:rsidRPr="002C7075">
        <w:rPr>
          <w:sz w:val="20"/>
          <w:szCs w:val="20"/>
        </w:rPr>
        <w:t xml:space="preserve">the bank will fail in the next quarter. The desired amount of warning depends on the user of the system. While an early warning system may be ideal for a regulator who would like to address bank mismanagement and avoid a failure, the trader of credit default swaps on banks might find this less helpful. </w:t>
      </w:r>
    </w:p>
    <w:p w14:paraId="6781AE18" w14:textId="6FDE0507" w:rsidR="0052497C" w:rsidRDefault="0052497C" w:rsidP="00BE5EAF">
      <w:pPr>
        <w:ind w:firstLine="360"/>
        <w:contextualSpacing/>
        <w:jc w:val="both"/>
        <w:rPr>
          <w:sz w:val="20"/>
          <w:szCs w:val="20"/>
        </w:rPr>
      </w:pPr>
      <w:r w:rsidRPr="002C7075">
        <w:rPr>
          <w:sz w:val="20"/>
          <w:szCs w:val="20"/>
        </w:rPr>
        <w:t>Indeed, to avoid excessively paying the spread (premium, in insurance terms) on the swaps, the ideal system for such a trader would give a tighter bound on expected failure dat</w:t>
      </w:r>
      <w:r w:rsidR="007A2EBA">
        <w:rPr>
          <w:sz w:val="20"/>
          <w:szCs w:val="20"/>
        </w:rPr>
        <w:t>e</w:t>
      </w:r>
      <w:r w:rsidRPr="002C7075">
        <w:rPr>
          <w:sz w:val="20"/>
          <w:szCs w:val="20"/>
        </w:rPr>
        <w:t xml:space="preserve">, not a vague notion that </w:t>
      </w:r>
      <w:r w:rsidR="00BE5EAF">
        <w:rPr>
          <w:sz w:val="20"/>
          <w:szCs w:val="20"/>
        </w:rPr>
        <w:t xml:space="preserve">a bank </w:t>
      </w:r>
      <w:r w:rsidRPr="002C7075">
        <w:rPr>
          <w:sz w:val="20"/>
          <w:szCs w:val="20"/>
        </w:rPr>
        <w:t>is likely to fail within the next two years. However, that does not account for liquidity and the availability of credit default swaps at the moment the trader wants them, and purchase and pricing of the swaps would be a judgment call by the particular trader.</w:t>
      </w:r>
      <w:r w:rsidR="00BE5EAF">
        <w:rPr>
          <w:sz w:val="20"/>
          <w:szCs w:val="20"/>
        </w:rPr>
        <w:t xml:space="preserve"> </w:t>
      </w:r>
      <w:r w:rsidRPr="002C7075">
        <w:rPr>
          <w:sz w:val="20"/>
          <w:szCs w:val="20"/>
        </w:rPr>
        <w:t>For these reasons, we develop</w:t>
      </w:r>
      <w:r w:rsidR="00BE5EAF">
        <w:rPr>
          <w:sz w:val="20"/>
          <w:szCs w:val="20"/>
        </w:rPr>
        <w:t>ed</w:t>
      </w:r>
      <w:r w:rsidRPr="002C7075">
        <w:rPr>
          <w:sz w:val="20"/>
          <w:szCs w:val="20"/>
        </w:rPr>
        <w:t xml:space="preserve"> a baseline system </w:t>
      </w:r>
      <w:r w:rsidR="00BE5EAF">
        <w:rPr>
          <w:sz w:val="20"/>
          <w:szCs w:val="20"/>
        </w:rPr>
        <w:t xml:space="preserve">that performs a </w:t>
      </w:r>
      <w:r w:rsidRPr="002C7075">
        <w:rPr>
          <w:sz w:val="20"/>
          <w:szCs w:val="20"/>
        </w:rPr>
        <w:t>binary classification</w:t>
      </w:r>
      <w:r w:rsidR="00BE5EAF">
        <w:rPr>
          <w:sz w:val="20"/>
          <w:szCs w:val="20"/>
        </w:rPr>
        <w:t xml:space="preserve"> </w:t>
      </w:r>
      <w:r w:rsidRPr="002C7075">
        <w:rPr>
          <w:sz w:val="20"/>
          <w:szCs w:val="20"/>
        </w:rPr>
        <w:t>of failure or success</w:t>
      </w:r>
      <w:r w:rsidR="00BE5EAF">
        <w:rPr>
          <w:sz w:val="20"/>
          <w:szCs w:val="20"/>
        </w:rPr>
        <w:t>.</w:t>
      </w:r>
    </w:p>
    <w:p w14:paraId="2BF696D5" w14:textId="77777777" w:rsidR="0014014B" w:rsidRDefault="004A56F4" w:rsidP="0014014B">
      <w:pPr>
        <w:pStyle w:val="ListParagraph"/>
        <w:numPr>
          <w:ilvl w:val="0"/>
          <w:numId w:val="11"/>
        </w:numPr>
        <w:spacing w:before="240" w:after="240"/>
        <w:ind w:left="360"/>
        <w:contextualSpacing w:val="0"/>
        <w:rPr>
          <w:b/>
        </w:rPr>
      </w:pPr>
      <w:r>
        <w:rPr>
          <w:b/>
        </w:rPr>
        <w:t>Description of the Data</w:t>
      </w:r>
    </w:p>
    <w:p w14:paraId="0BAE839C" w14:textId="1A829CB2" w:rsidR="001774C7" w:rsidRDefault="004A56F4" w:rsidP="00EB710F">
      <w:pPr>
        <w:ind w:firstLine="284"/>
        <w:jc w:val="both"/>
        <w:rPr>
          <w:sz w:val="20"/>
          <w:szCs w:val="20"/>
        </w:rPr>
      </w:pPr>
      <w:r w:rsidRPr="0014014B">
        <w:rPr>
          <w:sz w:val="20"/>
          <w:szCs w:val="20"/>
        </w:rPr>
        <w:t>The Federal Deposit Insurance Corporation (FDIC) in the United States keeps record</w:t>
      </w:r>
      <w:r w:rsidR="000F11A6" w:rsidRPr="0014014B">
        <w:rPr>
          <w:sz w:val="20"/>
          <w:szCs w:val="20"/>
        </w:rPr>
        <w:t>s</w:t>
      </w:r>
      <w:r w:rsidRPr="0014014B">
        <w:rPr>
          <w:sz w:val="20"/>
          <w:szCs w:val="20"/>
        </w:rPr>
        <w:t xml:space="preserve"> of banking data in its </w:t>
      </w:r>
      <w:r w:rsidRPr="0014014B">
        <w:rPr>
          <w:sz w:val="20"/>
          <w:szCs w:val="20"/>
        </w:rPr>
        <w:t>Statistics on Depository Institutions (SDI)</w:t>
      </w:r>
      <w:r w:rsidR="004437FE" w:rsidRPr="0014014B">
        <w:rPr>
          <w:sz w:val="20"/>
          <w:szCs w:val="20"/>
        </w:rPr>
        <w:t xml:space="preserve"> [</w:t>
      </w:r>
      <w:r w:rsidR="00D72469" w:rsidRPr="0014014B">
        <w:rPr>
          <w:sz w:val="20"/>
          <w:szCs w:val="20"/>
        </w:rPr>
        <w:t>2</w:t>
      </w:r>
      <w:r w:rsidR="004437FE" w:rsidRPr="0014014B">
        <w:rPr>
          <w:sz w:val="20"/>
          <w:szCs w:val="20"/>
        </w:rPr>
        <w:t>]</w:t>
      </w:r>
      <w:r w:rsidRPr="0014014B">
        <w:rPr>
          <w:sz w:val="20"/>
          <w:szCs w:val="20"/>
        </w:rPr>
        <w:t>.</w:t>
      </w:r>
      <w:r w:rsidR="00596BF3">
        <w:rPr>
          <w:sz w:val="20"/>
          <w:szCs w:val="20"/>
        </w:rPr>
        <w:t xml:space="preserve"> This was selected for </w:t>
      </w:r>
      <w:r w:rsidR="001774C7">
        <w:rPr>
          <w:sz w:val="20"/>
          <w:szCs w:val="20"/>
        </w:rPr>
        <w:t xml:space="preserve">use in this study because of how analogous it is to the official Turkish statistics used in </w:t>
      </w:r>
      <w:r w:rsidR="001774C7">
        <w:rPr>
          <w:sz w:val="20"/>
          <w:szCs w:val="20"/>
        </w:rPr>
        <w:fldChar w:fldCharType="begin"/>
      </w:r>
      <w:r w:rsidR="001774C7">
        <w:rPr>
          <w:sz w:val="20"/>
          <w:szCs w:val="20"/>
        </w:rPr>
        <w:instrText xml:space="preserve"> REF _Ref512208744 \n \h </w:instrText>
      </w:r>
      <w:r w:rsidR="001774C7">
        <w:rPr>
          <w:sz w:val="20"/>
          <w:szCs w:val="20"/>
        </w:rPr>
      </w:r>
      <w:r w:rsidR="001774C7">
        <w:rPr>
          <w:sz w:val="20"/>
          <w:szCs w:val="20"/>
        </w:rPr>
        <w:fldChar w:fldCharType="separate"/>
      </w:r>
      <w:r w:rsidR="00BB7995">
        <w:rPr>
          <w:sz w:val="20"/>
          <w:szCs w:val="20"/>
        </w:rPr>
        <w:t>[4]</w:t>
      </w:r>
      <w:r w:rsidR="001774C7">
        <w:rPr>
          <w:sz w:val="20"/>
          <w:szCs w:val="20"/>
        </w:rPr>
        <w:fldChar w:fldCharType="end"/>
      </w:r>
      <w:r w:rsidR="001774C7">
        <w:rPr>
          <w:sz w:val="20"/>
          <w:szCs w:val="20"/>
        </w:rPr>
        <w:t xml:space="preserve">, </w:t>
      </w:r>
      <w:r w:rsidR="001774C7">
        <w:rPr>
          <w:sz w:val="20"/>
          <w:szCs w:val="20"/>
        </w:rPr>
        <w:fldChar w:fldCharType="begin"/>
      </w:r>
      <w:r w:rsidR="001774C7">
        <w:rPr>
          <w:sz w:val="20"/>
          <w:szCs w:val="20"/>
        </w:rPr>
        <w:instrText xml:space="preserve"> REF _Ref512208764 \n \h </w:instrText>
      </w:r>
      <w:r w:rsidR="001774C7">
        <w:rPr>
          <w:sz w:val="20"/>
          <w:szCs w:val="20"/>
        </w:rPr>
      </w:r>
      <w:r w:rsidR="001774C7">
        <w:rPr>
          <w:sz w:val="20"/>
          <w:szCs w:val="20"/>
        </w:rPr>
        <w:fldChar w:fldCharType="separate"/>
      </w:r>
      <w:r w:rsidR="00BB7995">
        <w:rPr>
          <w:sz w:val="20"/>
          <w:szCs w:val="20"/>
        </w:rPr>
        <w:t>[5]</w:t>
      </w:r>
      <w:r w:rsidR="001774C7">
        <w:rPr>
          <w:sz w:val="20"/>
          <w:szCs w:val="20"/>
        </w:rPr>
        <w:fldChar w:fldCharType="end"/>
      </w:r>
      <w:r w:rsidR="001774C7">
        <w:rPr>
          <w:sz w:val="20"/>
          <w:szCs w:val="20"/>
        </w:rPr>
        <w:t xml:space="preserve">, and </w:t>
      </w:r>
      <w:r w:rsidR="001774C7">
        <w:rPr>
          <w:sz w:val="20"/>
          <w:szCs w:val="20"/>
        </w:rPr>
        <w:fldChar w:fldCharType="begin"/>
      </w:r>
      <w:r w:rsidR="001774C7">
        <w:rPr>
          <w:sz w:val="20"/>
          <w:szCs w:val="20"/>
        </w:rPr>
        <w:instrText xml:space="preserve"> REF _Ref512208728 \n \h </w:instrText>
      </w:r>
      <w:r w:rsidR="001774C7">
        <w:rPr>
          <w:sz w:val="20"/>
          <w:szCs w:val="20"/>
        </w:rPr>
      </w:r>
      <w:r w:rsidR="001774C7">
        <w:rPr>
          <w:sz w:val="20"/>
          <w:szCs w:val="20"/>
        </w:rPr>
        <w:fldChar w:fldCharType="separate"/>
      </w:r>
      <w:r w:rsidR="00BB7995">
        <w:rPr>
          <w:sz w:val="20"/>
          <w:szCs w:val="20"/>
        </w:rPr>
        <w:t>[7]</w:t>
      </w:r>
      <w:r w:rsidR="001774C7">
        <w:rPr>
          <w:sz w:val="20"/>
          <w:szCs w:val="20"/>
        </w:rPr>
        <w:fldChar w:fldCharType="end"/>
      </w:r>
      <w:r w:rsidR="001774C7">
        <w:rPr>
          <w:sz w:val="20"/>
          <w:szCs w:val="20"/>
        </w:rPr>
        <w:t xml:space="preserve">, and for its use in </w:t>
      </w:r>
      <w:r w:rsidR="001774C7">
        <w:rPr>
          <w:sz w:val="20"/>
          <w:szCs w:val="20"/>
        </w:rPr>
        <w:fldChar w:fldCharType="begin"/>
      </w:r>
      <w:r w:rsidR="001774C7">
        <w:rPr>
          <w:sz w:val="20"/>
          <w:szCs w:val="20"/>
        </w:rPr>
        <w:instrText xml:space="preserve"> REF _Ref512208725 \n \h </w:instrText>
      </w:r>
      <w:r w:rsidR="001774C7">
        <w:rPr>
          <w:sz w:val="20"/>
          <w:szCs w:val="20"/>
        </w:rPr>
      </w:r>
      <w:r w:rsidR="001774C7">
        <w:rPr>
          <w:sz w:val="20"/>
          <w:szCs w:val="20"/>
        </w:rPr>
        <w:fldChar w:fldCharType="separate"/>
      </w:r>
      <w:r w:rsidR="00BB7995">
        <w:rPr>
          <w:sz w:val="20"/>
          <w:szCs w:val="20"/>
        </w:rPr>
        <w:t>[6]</w:t>
      </w:r>
      <w:r w:rsidR="001774C7">
        <w:rPr>
          <w:sz w:val="20"/>
          <w:szCs w:val="20"/>
        </w:rPr>
        <w:fldChar w:fldCharType="end"/>
      </w:r>
      <w:r w:rsidR="001774C7">
        <w:rPr>
          <w:sz w:val="20"/>
          <w:szCs w:val="20"/>
        </w:rPr>
        <w:t>.</w:t>
      </w:r>
    </w:p>
    <w:p w14:paraId="1B1E8AF3" w14:textId="38A0EBD1" w:rsidR="004A56F4" w:rsidRDefault="009D745F" w:rsidP="00EB710F">
      <w:pPr>
        <w:ind w:firstLine="284"/>
        <w:jc w:val="both"/>
        <w:rPr>
          <w:sz w:val="20"/>
          <w:szCs w:val="20"/>
        </w:rPr>
      </w:pPr>
      <w:r>
        <w:rPr>
          <w:sz w:val="20"/>
          <w:szCs w:val="20"/>
        </w:rPr>
        <w:t xml:space="preserve">SDI </w:t>
      </w:r>
      <w:r w:rsidR="00515737">
        <w:rPr>
          <w:sz w:val="20"/>
          <w:szCs w:val="20"/>
        </w:rPr>
        <w:t>record</w:t>
      </w:r>
      <w:r w:rsidR="0014592F">
        <w:rPr>
          <w:sz w:val="20"/>
          <w:szCs w:val="20"/>
        </w:rPr>
        <w:t>-</w:t>
      </w:r>
      <w:r w:rsidR="004A56F4">
        <w:rPr>
          <w:sz w:val="20"/>
          <w:szCs w:val="20"/>
        </w:rPr>
        <w:t>keeping goes back to the fourth quarter of 1992 and continues through to the present. Data are reported for the end of each fiscal quarter. Data analysis began</w:t>
      </w:r>
      <w:r w:rsidR="001B160B">
        <w:rPr>
          <w:sz w:val="20"/>
          <w:szCs w:val="20"/>
        </w:rPr>
        <w:t xml:space="preserve"> after the release of the 2017</w:t>
      </w:r>
      <w:r w:rsidR="004A56F4">
        <w:rPr>
          <w:sz w:val="20"/>
          <w:szCs w:val="20"/>
        </w:rPr>
        <w:t>Q2 data, which was taken as the cutoff point for this work. The number of variables was dynamic: 1</w:t>
      </w:r>
      <w:r w:rsidR="00515737">
        <w:rPr>
          <w:sz w:val="20"/>
          <w:szCs w:val="20"/>
        </w:rPr>
        <w:t>,</w:t>
      </w:r>
      <w:r w:rsidR="004A56F4">
        <w:rPr>
          <w:sz w:val="20"/>
          <w:szCs w:val="20"/>
        </w:rPr>
        <w:t>0</w:t>
      </w:r>
      <w:r w:rsidR="001B160B">
        <w:rPr>
          <w:sz w:val="20"/>
          <w:szCs w:val="20"/>
        </w:rPr>
        <w:t>40 in 1992</w:t>
      </w:r>
      <w:r w:rsidR="004A56F4">
        <w:rPr>
          <w:sz w:val="20"/>
          <w:szCs w:val="20"/>
        </w:rPr>
        <w:t>Q4, and 1</w:t>
      </w:r>
      <w:r w:rsidR="00515737">
        <w:rPr>
          <w:sz w:val="20"/>
          <w:szCs w:val="20"/>
        </w:rPr>
        <w:t>,</w:t>
      </w:r>
      <w:r w:rsidR="004A56F4">
        <w:rPr>
          <w:sz w:val="20"/>
          <w:szCs w:val="20"/>
        </w:rPr>
        <w:t>07</w:t>
      </w:r>
      <w:r w:rsidR="001B160B">
        <w:rPr>
          <w:sz w:val="20"/>
          <w:szCs w:val="20"/>
        </w:rPr>
        <w:t>6 in 2017</w:t>
      </w:r>
      <w:r w:rsidR="004A56F4">
        <w:rPr>
          <w:sz w:val="20"/>
          <w:szCs w:val="20"/>
        </w:rPr>
        <w:t xml:space="preserve">Q2. </w:t>
      </w:r>
      <w:r w:rsidR="00515737">
        <w:rPr>
          <w:sz w:val="20"/>
          <w:szCs w:val="20"/>
        </w:rPr>
        <w:t>The n</w:t>
      </w:r>
      <w:r w:rsidR="004A56F4">
        <w:rPr>
          <w:sz w:val="20"/>
          <w:szCs w:val="20"/>
        </w:rPr>
        <w:t xml:space="preserve">umber of banks followed a strictly decreasing trend throughout the entire epoch, with fewer </w:t>
      </w:r>
      <w:r w:rsidR="001B160B">
        <w:rPr>
          <w:sz w:val="20"/>
          <w:szCs w:val="20"/>
        </w:rPr>
        <w:t>banks every quarter since 1992</w:t>
      </w:r>
      <w:r w:rsidR="004A56F4">
        <w:rPr>
          <w:sz w:val="20"/>
          <w:szCs w:val="20"/>
        </w:rPr>
        <w:t>Q4.</w:t>
      </w:r>
    </w:p>
    <w:p w14:paraId="326DA955" w14:textId="64EE5F83" w:rsidR="00AA6632" w:rsidRDefault="00FA1B53" w:rsidP="00FA1B53">
      <w:pPr>
        <w:ind w:firstLine="284"/>
        <w:jc w:val="both"/>
        <w:rPr>
          <w:sz w:val="20"/>
          <w:szCs w:val="20"/>
        </w:rPr>
      </w:pPr>
      <w:r>
        <w:rPr>
          <w:sz w:val="20"/>
          <w:szCs w:val="20"/>
        </w:rPr>
        <w:t>Organizing and preprocessing th</w:t>
      </w:r>
      <w:r w:rsidR="007A2EBA">
        <w:rPr>
          <w:sz w:val="20"/>
          <w:szCs w:val="20"/>
        </w:rPr>
        <w:t>is</w:t>
      </w:r>
      <w:r>
        <w:rPr>
          <w:sz w:val="20"/>
          <w:szCs w:val="20"/>
        </w:rPr>
        <w:t xml:space="preserve"> data</w:t>
      </w:r>
      <w:r w:rsidR="007A2EBA">
        <w:rPr>
          <w:sz w:val="20"/>
          <w:szCs w:val="20"/>
        </w:rPr>
        <w:t xml:space="preserve"> set</w:t>
      </w:r>
      <w:r>
        <w:rPr>
          <w:sz w:val="20"/>
          <w:szCs w:val="20"/>
        </w:rPr>
        <w:t xml:space="preserve"> to make it suitable for machine learning experiments proved to be quite a challenge. For example, tracking an institution by name does not always work. Many banks change names over time (e.g., </w:t>
      </w:r>
      <w:r w:rsidR="004A56F4" w:rsidRPr="00E0536E">
        <w:rPr>
          <w:sz w:val="20"/>
          <w:szCs w:val="20"/>
        </w:rPr>
        <w:t xml:space="preserve">Chase </w:t>
      </w:r>
      <w:r w:rsidR="004A56F4">
        <w:rPr>
          <w:sz w:val="20"/>
          <w:szCs w:val="20"/>
        </w:rPr>
        <w:t xml:space="preserve">Manhattan </w:t>
      </w:r>
      <w:r>
        <w:rPr>
          <w:sz w:val="20"/>
          <w:szCs w:val="20"/>
        </w:rPr>
        <w:t xml:space="preserve">acquired </w:t>
      </w:r>
      <w:r w:rsidR="000F11A6">
        <w:rPr>
          <w:sz w:val="20"/>
          <w:szCs w:val="20"/>
        </w:rPr>
        <w:t xml:space="preserve">JPMorgan </w:t>
      </w:r>
      <w:r w:rsidR="004A56F4" w:rsidRPr="00E0536E">
        <w:rPr>
          <w:sz w:val="20"/>
          <w:szCs w:val="20"/>
        </w:rPr>
        <w:t>and rename</w:t>
      </w:r>
      <w:r>
        <w:rPr>
          <w:sz w:val="20"/>
          <w:szCs w:val="20"/>
        </w:rPr>
        <w:t xml:space="preserve">d </w:t>
      </w:r>
      <w:r w:rsidR="004A56F4" w:rsidRPr="00E0536E">
        <w:rPr>
          <w:sz w:val="20"/>
          <w:szCs w:val="20"/>
        </w:rPr>
        <w:t>the company JPMorgan Chase</w:t>
      </w:r>
      <w:r>
        <w:rPr>
          <w:sz w:val="20"/>
          <w:szCs w:val="20"/>
        </w:rPr>
        <w:t xml:space="preserve">). Acquisitions further muddy the waters (e.g., </w:t>
      </w:r>
      <w:r w:rsidR="000F11A6">
        <w:rPr>
          <w:sz w:val="20"/>
          <w:szCs w:val="20"/>
        </w:rPr>
        <w:t xml:space="preserve">Chemical </w:t>
      </w:r>
      <w:r w:rsidR="00D41B69">
        <w:rPr>
          <w:sz w:val="20"/>
          <w:szCs w:val="20"/>
        </w:rPr>
        <w:t>B</w:t>
      </w:r>
      <w:r w:rsidR="000F11A6">
        <w:rPr>
          <w:sz w:val="20"/>
          <w:szCs w:val="20"/>
        </w:rPr>
        <w:t xml:space="preserve">ank </w:t>
      </w:r>
      <w:r>
        <w:rPr>
          <w:sz w:val="20"/>
          <w:szCs w:val="20"/>
        </w:rPr>
        <w:t xml:space="preserve">purchased </w:t>
      </w:r>
      <w:r w:rsidR="004A56F4" w:rsidRPr="00E0536E">
        <w:rPr>
          <w:sz w:val="20"/>
          <w:szCs w:val="20"/>
        </w:rPr>
        <w:t xml:space="preserve">Chase Manhattan but </w:t>
      </w:r>
      <w:r>
        <w:rPr>
          <w:sz w:val="20"/>
          <w:szCs w:val="20"/>
        </w:rPr>
        <w:t xml:space="preserve">continued to use the </w:t>
      </w:r>
      <w:r w:rsidR="004A56F4" w:rsidRPr="00E0536E">
        <w:rPr>
          <w:sz w:val="20"/>
          <w:szCs w:val="20"/>
        </w:rPr>
        <w:t>Chase Manhattan name</w:t>
      </w:r>
      <w:r w:rsidR="00D41B69">
        <w:rPr>
          <w:sz w:val="20"/>
          <w:szCs w:val="20"/>
        </w:rPr>
        <w:t>, even though Chase was the smaller bank in terms of assets</w:t>
      </w:r>
      <w:r>
        <w:rPr>
          <w:sz w:val="20"/>
          <w:szCs w:val="20"/>
        </w:rPr>
        <w:t>)</w:t>
      </w:r>
      <w:r w:rsidR="00AA6632">
        <w:rPr>
          <w:sz w:val="20"/>
          <w:szCs w:val="20"/>
        </w:rPr>
        <w:t xml:space="preserve">. </w:t>
      </w:r>
      <w:r w:rsidR="00300D44">
        <w:rPr>
          <w:sz w:val="20"/>
          <w:szCs w:val="20"/>
        </w:rPr>
        <w:t xml:space="preserve">Nonetheless, the </w:t>
      </w:r>
      <w:r w:rsidR="008345E7">
        <w:rPr>
          <w:sz w:val="20"/>
          <w:szCs w:val="20"/>
        </w:rPr>
        <w:t>merger and acquisition</w:t>
      </w:r>
      <w:r w:rsidR="00300D44">
        <w:rPr>
          <w:sz w:val="20"/>
          <w:szCs w:val="20"/>
        </w:rPr>
        <w:t xml:space="preserve"> activity</w:t>
      </w:r>
      <w:r w:rsidR="008345E7">
        <w:rPr>
          <w:sz w:val="20"/>
          <w:szCs w:val="20"/>
        </w:rPr>
        <w:t xml:space="preserve"> </w:t>
      </w:r>
      <w:r w:rsidR="00300D44">
        <w:rPr>
          <w:sz w:val="20"/>
          <w:szCs w:val="20"/>
        </w:rPr>
        <w:t>had to be included in the data.</w:t>
      </w:r>
    </w:p>
    <w:p w14:paraId="22A5F6BF" w14:textId="71C31979" w:rsidR="000A47EC" w:rsidRDefault="00AA6632" w:rsidP="00FA1B53">
      <w:pPr>
        <w:ind w:firstLine="284"/>
        <w:jc w:val="both"/>
        <w:rPr>
          <w:sz w:val="20"/>
          <w:szCs w:val="20"/>
        </w:rPr>
      </w:pPr>
      <w:r>
        <w:rPr>
          <w:sz w:val="20"/>
          <w:szCs w:val="20"/>
        </w:rPr>
        <w:t xml:space="preserve">An alternative to the bank name is to use the </w:t>
      </w:r>
      <w:r w:rsidR="004A56F4" w:rsidRPr="00E0536E">
        <w:rPr>
          <w:sz w:val="20"/>
          <w:szCs w:val="20"/>
        </w:rPr>
        <w:t xml:space="preserve">FDIC </w:t>
      </w:r>
      <w:r w:rsidR="0009573E">
        <w:rPr>
          <w:sz w:val="20"/>
          <w:szCs w:val="20"/>
        </w:rPr>
        <w:t>C</w:t>
      </w:r>
      <w:r w:rsidR="00342780">
        <w:rPr>
          <w:sz w:val="20"/>
          <w:szCs w:val="20"/>
        </w:rPr>
        <w:t>ertificate N</w:t>
      </w:r>
      <w:r w:rsidR="004A56F4" w:rsidRPr="00E0536E">
        <w:rPr>
          <w:sz w:val="20"/>
          <w:szCs w:val="20"/>
        </w:rPr>
        <w:t xml:space="preserve">umber, </w:t>
      </w:r>
      <w:r>
        <w:rPr>
          <w:sz w:val="20"/>
          <w:szCs w:val="20"/>
        </w:rPr>
        <w:t xml:space="preserve">which is labeled </w:t>
      </w:r>
      <w:r w:rsidR="000A47EC">
        <w:rPr>
          <w:sz w:val="20"/>
          <w:szCs w:val="20"/>
        </w:rPr>
        <w:t>“cert”</w:t>
      </w:r>
      <w:r w:rsidR="004A56F4" w:rsidRPr="00E0536E">
        <w:rPr>
          <w:sz w:val="20"/>
          <w:szCs w:val="20"/>
        </w:rPr>
        <w:t xml:space="preserve"> in the </w:t>
      </w:r>
      <w:r>
        <w:rPr>
          <w:sz w:val="20"/>
          <w:szCs w:val="20"/>
        </w:rPr>
        <w:t xml:space="preserve">FDIC database. </w:t>
      </w:r>
      <w:r w:rsidR="004A56F4" w:rsidRPr="00E0536E">
        <w:rPr>
          <w:sz w:val="20"/>
          <w:szCs w:val="20"/>
        </w:rPr>
        <w:t xml:space="preserve">Each </w:t>
      </w:r>
      <w:r>
        <w:rPr>
          <w:sz w:val="20"/>
          <w:szCs w:val="20"/>
        </w:rPr>
        <w:t xml:space="preserve">bank is assigned a unique </w:t>
      </w:r>
      <w:r w:rsidR="00342780">
        <w:rPr>
          <w:sz w:val="20"/>
          <w:szCs w:val="20"/>
        </w:rPr>
        <w:t xml:space="preserve">cert </w:t>
      </w:r>
      <w:r>
        <w:rPr>
          <w:sz w:val="20"/>
          <w:szCs w:val="20"/>
        </w:rPr>
        <w:t xml:space="preserve">by </w:t>
      </w:r>
      <w:r w:rsidR="001E15FD">
        <w:rPr>
          <w:sz w:val="20"/>
          <w:szCs w:val="20"/>
        </w:rPr>
        <w:t xml:space="preserve">the FDIC for </w:t>
      </w:r>
      <w:r w:rsidR="001E15FD" w:rsidRPr="001E15FD">
        <w:rPr>
          <w:sz w:val="20"/>
          <w:szCs w:val="20"/>
        </w:rPr>
        <w:t>issuing insurance certificates</w:t>
      </w:r>
      <w:r w:rsidR="00342780">
        <w:rPr>
          <w:sz w:val="20"/>
          <w:szCs w:val="20"/>
        </w:rPr>
        <w:t> </w:t>
      </w:r>
      <w:r w:rsidR="00342780">
        <w:rPr>
          <w:sz w:val="20"/>
          <w:szCs w:val="20"/>
        </w:rPr>
        <w:fldChar w:fldCharType="begin"/>
      </w:r>
      <w:r w:rsidR="00342780">
        <w:rPr>
          <w:sz w:val="20"/>
          <w:szCs w:val="20"/>
        </w:rPr>
        <w:instrText xml:space="preserve"> REF _Ref513117209 \r </w:instrText>
      </w:r>
      <w:r w:rsidR="00342780">
        <w:rPr>
          <w:sz w:val="20"/>
          <w:szCs w:val="20"/>
        </w:rPr>
        <w:fldChar w:fldCharType="separate"/>
      </w:r>
      <w:r w:rsidR="00BB7995">
        <w:rPr>
          <w:sz w:val="20"/>
          <w:szCs w:val="20"/>
        </w:rPr>
        <w:t>[15]</w:t>
      </w:r>
      <w:r w:rsidR="00342780">
        <w:rPr>
          <w:sz w:val="20"/>
          <w:szCs w:val="20"/>
        </w:rPr>
        <w:fldChar w:fldCharType="end"/>
      </w:r>
      <w:r w:rsidR="001E15FD" w:rsidRPr="001E15FD">
        <w:rPr>
          <w:sz w:val="20"/>
          <w:szCs w:val="20"/>
        </w:rPr>
        <w:t>.</w:t>
      </w:r>
      <w:r w:rsidR="00342780">
        <w:rPr>
          <w:sz w:val="20"/>
          <w:szCs w:val="20"/>
        </w:rPr>
        <w:t xml:space="preserve"> Prior to the Chase acquisition, </w:t>
      </w:r>
      <w:r w:rsidR="004A56F4" w:rsidRPr="00E0536E">
        <w:rPr>
          <w:sz w:val="20"/>
          <w:szCs w:val="20"/>
        </w:rPr>
        <w:t>Chemical Bank had cert 628</w:t>
      </w:r>
      <w:r w:rsidR="00342780">
        <w:rPr>
          <w:sz w:val="20"/>
          <w:szCs w:val="20"/>
        </w:rPr>
        <w:t>. A</w:t>
      </w:r>
      <w:r w:rsidR="004A56F4" w:rsidRPr="00E0536E">
        <w:rPr>
          <w:sz w:val="20"/>
          <w:szCs w:val="20"/>
        </w:rPr>
        <w:t>fte</w:t>
      </w:r>
      <w:r w:rsidR="00342780">
        <w:rPr>
          <w:sz w:val="20"/>
          <w:szCs w:val="20"/>
        </w:rPr>
        <w:t xml:space="preserve">r the </w:t>
      </w:r>
      <w:r>
        <w:rPr>
          <w:sz w:val="20"/>
          <w:szCs w:val="20"/>
        </w:rPr>
        <w:t xml:space="preserve">acquisition, </w:t>
      </w:r>
      <w:r w:rsidR="004A56F4" w:rsidRPr="00E0536E">
        <w:rPr>
          <w:sz w:val="20"/>
          <w:szCs w:val="20"/>
        </w:rPr>
        <w:t xml:space="preserve">the combined company still used cert 628. Likewise, the entirety of JPMorgan Chase uses cert 628, even after the </w:t>
      </w:r>
      <w:r w:rsidR="000F11A6">
        <w:rPr>
          <w:sz w:val="20"/>
          <w:szCs w:val="20"/>
        </w:rPr>
        <w:t>acquisition of JPMorgan by</w:t>
      </w:r>
      <w:r w:rsidR="004A56F4" w:rsidRPr="00E0536E">
        <w:rPr>
          <w:sz w:val="20"/>
          <w:szCs w:val="20"/>
        </w:rPr>
        <w:t xml:space="preserve"> Chase Manhattan.</w:t>
      </w:r>
      <w:r w:rsidR="00342780">
        <w:rPr>
          <w:sz w:val="20"/>
          <w:szCs w:val="20"/>
        </w:rPr>
        <w:t xml:space="preserve"> </w:t>
      </w:r>
      <w:r>
        <w:rPr>
          <w:sz w:val="20"/>
          <w:szCs w:val="20"/>
        </w:rPr>
        <w:t>Unfortunately, these kinds of transformations are extremely disruptive to machine learning algorithms attempting to model relationships between inputs and outputs since there are di</w:t>
      </w:r>
      <w:r w:rsidR="000A47EC">
        <w:rPr>
          <w:sz w:val="20"/>
          <w:szCs w:val="20"/>
        </w:rPr>
        <w:t xml:space="preserve">scontinuities in the input data. There are no input variables that </w:t>
      </w:r>
      <w:r w:rsidR="00342780">
        <w:rPr>
          <w:sz w:val="20"/>
          <w:szCs w:val="20"/>
        </w:rPr>
        <w:t xml:space="preserve">describe or </w:t>
      </w:r>
      <w:r w:rsidR="000A47EC">
        <w:rPr>
          <w:sz w:val="20"/>
          <w:szCs w:val="20"/>
        </w:rPr>
        <w:t>represent these changes</w:t>
      </w:r>
      <w:r w:rsidR="00342780">
        <w:rPr>
          <w:sz w:val="20"/>
          <w:szCs w:val="20"/>
        </w:rPr>
        <w:t xml:space="preserve"> explicitly</w:t>
      </w:r>
      <w:r w:rsidR="000A47EC">
        <w:rPr>
          <w:sz w:val="20"/>
          <w:szCs w:val="20"/>
        </w:rPr>
        <w:t>,</w:t>
      </w:r>
      <w:r w:rsidR="00342780">
        <w:rPr>
          <w:sz w:val="20"/>
          <w:szCs w:val="20"/>
        </w:rPr>
        <w:t xml:space="preserve"> </w:t>
      </w:r>
      <w:r w:rsidR="000A47EC">
        <w:rPr>
          <w:sz w:val="20"/>
          <w:szCs w:val="20"/>
        </w:rPr>
        <w:t>so external knowledge is required to fully interpret the data.</w:t>
      </w:r>
    </w:p>
    <w:p w14:paraId="14B84EF1" w14:textId="740BFFB9" w:rsidR="004A56F4" w:rsidRDefault="000A47EC" w:rsidP="00EB710F">
      <w:pPr>
        <w:ind w:firstLine="284"/>
        <w:jc w:val="both"/>
        <w:rPr>
          <w:sz w:val="20"/>
          <w:szCs w:val="20"/>
        </w:rPr>
      </w:pPr>
      <w:r>
        <w:rPr>
          <w:sz w:val="20"/>
          <w:szCs w:val="20"/>
        </w:rPr>
        <w:t>Perhaps the most challen</w:t>
      </w:r>
      <w:r w:rsidR="00342780">
        <w:rPr>
          <w:sz w:val="20"/>
          <w:szCs w:val="20"/>
        </w:rPr>
        <w:t xml:space="preserve">ging aspect of working with </w:t>
      </w:r>
      <w:r w:rsidR="004A56F4">
        <w:rPr>
          <w:sz w:val="20"/>
          <w:szCs w:val="20"/>
        </w:rPr>
        <w:t xml:space="preserve">SDI </w:t>
      </w:r>
      <w:r w:rsidR="00342780">
        <w:rPr>
          <w:sz w:val="20"/>
          <w:szCs w:val="20"/>
        </w:rPr>
        <w:t xml:space="preserve">data </w:t>
      </w:r>
      <w:r w:rsidR="004A56F4">
        <w:rPr>
          <w:sz w:val="20"/>
          <w:szCs w:val="20"/>
        </w:rPr>
        <w:t>is the abundance of missing</w:t>
      </w:r>
      <w:r w:rsidR="00164BEE">
        <w:rPr>
          <w:sz w:val="20"/>
          <w:szCs w:val="20"/>
        </w:rPr>
        <w:t xml:space="preserve"> data</w:t>
      </w:r>
      <w:r>
        <w:rPr>
          <w:sz w:val="20"/>
          <w:szCs w:val="20"/>
        </w:rPr>
        <w:t xml:space="preserve">. </w:t>
      </w:r>
      <w:r w:rsidR="004A56F4">
        <w:rPr>
          <w:sz w:val="20"/>
          <w:szCs w:val="20"/>
        </w:rPr>
        <w:t xml:space="preserve">There </w:t>
      </w:r>
      <w:r>
        <w:rPr>
          <w:sz w:val="20"/>
          <w:szCs w:val="20"/>
        </w:rPr>
        <w:t xml:space="preserve">are </w:t>
      </w:r>
      <w:r w:rsidR="004A56F4">
        <w:rPr>
          <w:sz w:val="20"/>
          <w:szCs w:val="20"/>
        </w:rPr>
        <w:t xml:space="preserve">quarters </w:t>
      </w:r>
      <w:r>
        <w:rPr>
          <w:sz w:val="20"/>
          <w:szCs w:val="20"/>
        </w:rPr>
        <w:t xml:space="preserve">where </w:t>
      </w:r>
      <w:r w:rsidR="004A56F4">
        <w:rPr>
          <w:sz w:val="20"/>
          <w:szCs w:val="20"/>
        </w:rPr>
        <w:t>variables</w:t>
      </w:r>
      <w:r>
        <w:rPr>
          <w:sz w:val="20"/>
          <w:szCs w:val="20"/>
        </w:rPr>
        <w:t xml:space="preserve"> are completely missing for all banks</w:t>
      </w:r>
      <w:r w:rsidR="00DE5400">
        <w:rPr>
          <w:sz w:val="20"/>
          <w:szCs w:val="20"/>
        </w:rPr>
        <w:t xml:space="preserve"> (e.g., trading liabilities, labeled “tradel</w:t>
      </w:r>
      <w:r w:rsidR="00A31522">
        <w:rPr>
          <w:sz w:val="20"/>
          <w:szCs w:val="20"/>
        </w:rPr>
        <w:t>,”</w:t>
      </w:r>
      <w:r w:rsidR="00DE5400">
        <w:rPr>
          <w:sz w:val="20"/>
          <w:szCs w:val="20"/>
        </w:rPr>
        <w:t xml:space="preserve"> is completely missing for 1992Q4</w:t>
      </w:r>
      <w:r w:rsidR="00530DDA">
        <w:rPr>
          <w:sz w:val="20"/>
          <w:szCs w:val="20"/>
        </w:rPr>
        <w:t>, though the variable is included in the header</w:t>
      </w:r>
      <w:r w:rsidR="00DE5400">
        <w:rPr>
          <w:sz w:val="20"/>
          <w:szCs w:val="20"/>
        </w:rPr>
        <w:t>)</w:t>
      </w:r>
      <w:r w:rsidR="00342780">
        <w:rPr>
          <w:sz w:val="20"/>
          <w:szCs w:val="20"/>
        </w:rPr>
        <w:t xml:space="preserve">. For example, as summarized in </w:t>
      </w:r>
      <w:r w:rsidR="00327E24">
        <w:rPr>
          <w:sz w:val="20"/>
          <w:szCs w:val="20"/>
        </w:rPr>
        <w:fldChar w:fldCharType="begin"/>
      </w:r>
      <w:r w:rsidR="00327E24">
        <w:rPr>
          <w:sz w:val="20"/>
          <w:szCs w:val="20"/>
        </w:rPr>
        <w:instrText xml:space="preserve"> REF _Ref514221847 \* mergeformat</w:instrText>
      </w:r>
      <w:r w:rsidR="00327E24">
        <w:rPr>
          <w:sz w:val="20"/>
          <w:szCs w:val="20"/>
        </w:rPr>
        <w:fldChar w:fldCharType="separate"/>
      </w:r>
      <w:r w:rsidR="00BB7995" w:rsidRPr="00BB7995">
        <w:rPr>
          <w:sz w:val="20"/>
          <w:szCs w:val="20"/>
        </w:rPr>
        <w:t>Table 1</w:t>
      </w:r>
      <w:r w:rsidR="00327E24">
        <w:rPr>
          <w:sz w:val="20"/>
          <w:szCs w:val="20"/>
        </w:rPr>
        <w:fldChar w:fldCharType="end"/>
      </w:r>
      <w:r w:rsidR="00342780">
        <w:rPr>
          <w:sz w:val="20"/>
          <w:szCs w:val="20"/>
        </w:rPr>
        <w:t>, out of 1,0</w:t>
      </w:r>
      <w:r w:rsidR="00431BBC">
        <w:rPr>
          <w:sz w:val="20"/>
          <w:szCs w:val="20"/>
        </w:rPr>
        <w:t>76</w:t>
      </w:r>
      <w:r w:rsidR="0083577C">
        <w:rPr>
          <w:sz w:val="20"/>
          <w:szCs w:val="20"/>
        </w:rPr>
        <w:t xml:space="preserve"> variables that occurred in 70 quarters of data, there were only 60 variables that were complete.</w:t>
      </w:r>
      <w:r w:rsidR="00342780">
        <w:rPr>
          <w:sz w:val="20"/>
          <w:szCs w:val="20"/>
        </w:rPr>
        <w:t xml:space="preserve"> </w:t>
      </w:r>
      <w:r>
        <w:rPr>
          <w:sz w:val="20"/>
          <w:szCs w:val="20"/>
        </w:rPr>
        <w:t xml:space="preserve"> </w:t>
      </w:r>
    </w:p>
    <w:p w14:paraId="7DB92D51" w14:textId="0F90EDAB" w:rsidR="004A56F4" w:rsidRDefault="00C11301" w:rsidP="00EB710F">
      <w:pPr>
        <w:ind w:firstLine="284"/>
        <w:jc w:val="both"/>
        <w:rPr>
          <w:sz w:val="20"/>
          <w:szCs w:val="20"/>
        </w:rPr>
      </w:pPr>
      <w:r>
        <w:rPr>
          <w:sz w:val="20"/>
          <w:szCs w:val="20"/>
        </w:rPr>
        <w:t>Due to the abundance of missing data, we had to focus on deep learning techniques</w:t>
      </w:r>
      <w:r w:rsidR="0083577C">
        <w:rPr>
          <w:sz w:val="20"/>
          <w:szCs w:val="20"/>
        </w:rPr>
        <w:t xml:space="preserve"> and training strategies that </w:t>
      </w:r>
      <w:r>
        <w:rPr>
          <w:sz w:val="20"/>
          <w:szCs w:val="20"/>
        </w:rPr>
        <w:t>are robust to missing data</w:t>
      </w:r>
      <w:r w:rsidR="0083577C">
        <w:rPr>
          <w:sz w:val="20"/>
          <w:szCs w:val="20"/>
        </w:rPr>
        <w:t xml:space="preserve">. </w:t>
      </w:r>
      <w:r>
        <w:rPr>
          <w:sz w:val="20"/>
          <w:szCs w:val="20"/>
        </w:rPr>
        <w:t>Alter</w:t>
      </w:r>
      <w:r w:rsidR="008F1278">
        <w:rPr>
          <w:sz w:val="20"/>
          <w:szCs w:val="20"/>
        </w:rPr>
        <w:t>natively</w:t>
      </w:r>
      <w:r>
        <w:rPr>
          <w:sz w:val="20"/>
          <w:szCs w:val="20"/>
        </w:rPr>
        <w:t xml:space="preserve">, we could </w:t>
      </w:r>
      <w:r w:rsidR="0083577C">
        <w:rPr>
          <w:sz w:val="20"/>
          <w:szCs w:val="20"/>
        </w:rPr>
        <w:t xml:space="preserve">have </w:t>
      </w:r>
      <w:r>
        <w:rPr>
          <w:sz w:val="20"/>
          <w:szCs w:val="20"/>
        </w:rPr>
        <w:t>focus</w:t>
      </w:r>
      <w:r w:rsidR="0083577C">
        <w:rPr>
          <w:sz w:val="20"/>
          <w:szCs w:val="20"/>
        </w:rPr>
        <w:t xml:space="preserve">ed </w:t>
      </w:r>
      <w:r>
        <w:rPr>
          <w:sz w:val="20"/>
          <w:szCs w:val="20"/>
        </w:rPr>
        <w:t xml:space="preserve">on techniques that attempt to synthesize missing data points, but these techniques are </w:t>
      </w:r>
      <w:r>
        <w:rPr>
          <w:sz w:val="20"/>
          <w:szCs w:val="20"/>
        </w:rPr>
        <w:lastRenderedPageBreak/>
        <w:t>much more experimental in nature</w:t>
      </w:r>
      <w:r w:rsidR="0083577C">
        <w:rPr>
          <w:sz w:val="20"/>
          <w:szCs w:val="20"/>
        </w:rPr>
        <w:t xml:space="preserve"> and hence not suitable for a baseline study</w:t>
      </w:r>
      <w:r>
        <w:rPr>
          <w:sz w:val="20"/>
          <w:szCs w:val="20"/>
        </w:rPr>
        <w:t>. T</w:t>
      </w:r>
      <w:r w:rsidR="004A56F4">
        <w:rPr>
          <w:sz w:val="20"/>
          <w:szCs w:val="20"/>
        </w:rPr>
        <w:t>wo approaches were taken to combat th</w:t>
      </w:r>
      <w:r>
        <w:rPr>
          <w:sz w:val="20"/>
          <w:szCs w:val="20"/>
        </w:rPr>
        <w:t xml:space="preserve">e </w:t>
      </w:r>
      <w:r w:rsidR="004A56F4">
        <w:rPr>
          <w:sz w:val="20"/>
          <w:szCs w:val="20"/>
        </w:rPr>
        <w:t>issue</w:t>
      </w:r>
      <w:r>
        <w:rPr>
          <w:sz w:val="20"/>
          <w:szCs w:val="20"/>
        </w:rPr>
        <w:t xml:space="preserve"> of missing data</w:t>
      </w:r>
      <w:r w:rsidR="004A56F4">
        <w:rPr>
          <w:sz w:val="20"/>
          <w:szCs w:val="20"/>
        </w:rPr>
        <w:t>. First, the time period con</w:t>
      </w:r>
      <w:r w:rsidR="001B160B">
        <w:rPr>
          <w:sz w:val="20"/>
          <w:szCs w:val="20"/>
        </w:rPr>
        <w:t>sidered was restricted to 2000Q1 to the present (2017</w:t>
      </w:r>
      <w:r w:rsidR="004A56F4">
        <w:rPr>
          <w:sz w:val="20"/>
          <w:szCs w:val="20"/>
        </w:rPr>
        <w:t>Q2</w:t>
      </w:r>
      <w:r w:rsidR="001B160B">
        <w:rPr>
          <w:sz w:val="20"/>
          <w:szCs w:val="20"/>
        </w:rPr>
        <w:t>)</w:t>
      </w:r>
      <w:r w:rsidR="004A56F4">
        <w:rPr>
          <w:sz w:val="20"/>
          <w:szCs w:val="20"/>
        </w:rPr>
        <w:t xml:space="preserve">. Record-keeping improved over time, and this has an added effect of not modeling old data from the time series. Second, </w:t>
      </w:r>
      <w:r>
        <w:rPr>
          <w:sz w:val="20"/>
          <w:szCs w:val="20"/>
        </w:rPr>
        <w:t xml:space="preserve">we </w:t>
      </w:r>
      <w:r w:rsidR="004A56F4">
        <w:rPr>
          <w:sz w:val="20"/>
          <w:szCs w:val="20"/>
        </w:rPr>
        <w:t>define</w:t>
      </w:r>
      <w:r>
        <w:rPr>
          <w:sz w:val="20"/>
          <w:szCs w:val="20"/>
        </w:rPr>
        <w:t xml:space="preserve">d </w:t>
      </w:r>
      <w:r w:rsidR="004A56F4">
        <w:rPr>
          <w:sz w:val="20"/>
          <w:szCs w:val="20"/>
        </w:rPr>
        <w:t>a “</w:t>
      </w:r>
      <w:r>
        <w:rPr>
          <w:sz w:val="20"/>
          <w:szCs w:val="20"/>
        </w:rPr>
        <w:t xml:space="preserve">complete </w:t>
      </w:r>
      <w:r w:rsidR="004A56F4">
        <w:rPr>
          <w:sz w:val="20"/>
          <w:szCs w:val="20"/>
        </w:rPr>
        <w:t xml:space="preserve">variable” as </w:t>
      </w:r>
      <w:r>
        <w:rPr>
          <w:sz w:val="20"/>
          <w:szCs w:val="20"/>
        </w:rPr>
        <w:t xml:space="preserve">a </w:t>
      </w:r>
      <w:r w:rsidR="005362C9">
        <w:rPr>
          <w:sz w:val="20"/>
          <w:szCs w:val="20"/>
        </w:rPr>
        <w:t xml:space="preserve">quantitative </w:t>
      </w:r>
      <w:r>
        <w:rPr>
          <w:sz w:val="20"/>
          <w:szCs w:val="20"/>
        </w:rPr>
        <w:t xml:space="preserve">variable which had no missing data for the period under consideration. </w:t>
      </w:r>
      <w:r w:rsidR="004A56F4">
        <w:rPr>
          <w:sz w:val="20"/>
          <w:szCs w:val="20"/>
        </w:rPr>
        <w:t>Only 60</w:t>
      </w:r>
      <w:r>
        <w:rPr>
          <w:sz w:val="20"/>
          <w:szCs w:val="20"/>
        </w:rPr>
        <w:t xml:space="preserve"> variables for the </w:t>
      </w:r>
      <w:r w:rsidR="004A56F4">
        <w:rPr>
          <w:sz w:val="20"/>
          <w:szCs w:val="20"/>
        </w:rPr>
        <w:t xml:space="preserve">post-2000 </w:t>
      </w:r>
      <w:r>
        <w:rPr>
          <w:sz w:val="20"/>
          <w:szCs w:val="20"/>
        </w:rPr>
        <w:t xml:space="preserve">epoch qualified as complete variables out of over 1,000 possible variables. </w:t>
      </w:r>
      <w:r w:rsidR="004A56F4">
        <w:rPr>
          <w:sz w:val="20"/>
          <w:szCs w:val="20"/>
        </w:rPr>
        <w:t xml:space="preserve">The others were discarded either for having missing data somewhere </w:t>
      </w:r>
      <w:r>
        <w:rPr>
          <w:sz w:val="20"/>
          <w:szCs w:val="20"/>
        </w:rPr>
        <w:t xml:space="preserve">in </w:t>
      </w:r>
      <w:r w:rsidR="004A56F4">
        <w:rPr>
          <w:sz w:val="20"/>
          <w:szCs w:val="20"/>
        </w:rPr>
        <w:t>post-2000</w:t>
      </w:r>
      <w:r>
        <w:rPr>
          <w:sz w:val="20"/>
          <w:szCs w:val="20"/>
        </w:rPr>
        <w:t xml:space="preserve"> epoch</w:t>
      </w:r>
      <w:r w:rsidR="004A56F4">
        <w:rPr>
          <w:sz w:val="20"/>
          <w:szCs w:val="20"/>
        </w:rPr>
        <w:t>, or because they were categorical var</w:t>
      </w:r>
      <w:r>
        <w:rPr>
          <w:sz w:val="20"/>
          <w:szCs w:val="20"/>
        </w:rPr>
        <w:t>iables</w:t>
      </w:r>
      <w:r w:rsidR="00DC4D2F">
        <w:rPr>
          <w:sz w:val="20"/>
          <w:szCs w:val="20"/>
        </w:rPr>
        <w:t xml:space="preserve"> like address</w:t>
      </w:r>
      <w:r>
        <w:rPr>
          <w:sz w:val="20"/>
          <w:szCs w:val="20"/>
        </w:rPr>
        <w:t>.</w:t>
      </w:r>
      <w:r w:rsidR="001B4A56">
        <w:rPr>
          <w:sz w:val="20"/>
          <w:szCs w:val="20"/>
        </w:rPr>
        <w:t xml:space="preserve"> </w:t>
      </w:r>
    </w:p>
    <w:p w14:paraId="440C7E5A" w14:textId="706B98F4" w:rsidR="004A56F4" w:rsidRDefault="004A56F4" w:rsidP="00EB710F">
      <w:pPr>
        <w:ind w:firstLine="284"/>
        <w:jc w:val="both"/>
        <w:rPr>
          <w:sz w:val="20"/>
          <w:szCs w:val="20"/>
        </w:rPr>
      </w:pPr>
      <w:r>
        <w:rPr>
          <w:sz w:val="20"/>
          <w:szCs w:val="20"/>
        </w:rPr>
        <w:t>Data f</w:t>
      </w:r>
      <w:r w:rsidR="00E361C6">
        <w:rPr>
          <w:sz w:val="20"/>
          <w:szCs w:val="20"/>
        </w:rPr>
        <w:t>or the post-2</w:t>
      </w:r>
      <w:r>
        <w:rPr>
          <w:sz w:val="20"/>
          <w:szCs w:val="20"/>
        </w:rPr>
        <w:t xml:space="preserve">000 </w:t>
      </w:r>
      <w:r w:rsidR="00E361C6">
        <w:rPr>
          <w:sz w:val="20"/>
          <w:szCs w:val="20"/>
        </w:rPr>
        <w:t xml:space="preserve">epoch did capture </w:t>
      </w:r>
      <w:r>
        <w:rPr>
          <w:sz w:val="20"/>
          <w:szCs w:val="20"/>
        </w:rPr>
        <w:t>numerous macroeconomic events. The epoch spanned the end of the Clinton years, the post-9/11 recession, the Global Financial Crisis, the post-Crisis bull market, and the “Trump run” bull market acceleration.</w:t>
      </w:r>
    </w:p>
    <w:p w14:paraId="2E581B56" w14:textId="760938CA" w:rsidR="004A56F4" w:rsidRDefault="00F718E4" w:rsidP="00EB710F">
      <w:pPr>
        <w:ind w:firstLine="284"/>
        <w:jc w:val="both"/>
        <w:rPr>
          <w:sz w:val="20"/>
          <w:szCs w:val="20"/>
        </w:rPr>
      </w:pPr>
      <w:r w:rsidRPr="0014014B">
        <w:rPr>
          <w:noProof/>
        </w:rPr>
        <mc:AlternateContent>
          <mc:Choice Requires="wps">
            <w:drawing>
              <wp:anchor distT="0" distB="137160" distL="0" distR="0" simplePos="0" relativeHeight="251657216" behindDoc="0" locked="0" layoutInCell="1" allowOverlap="1" wp14:anchorId="186EEE71" wp14:editId="286240ED">
                <wp:simplePos x="0" y="0"/>
                <wp:positionH relativeFrom="margin">
                  <wp:align>left</wp:align>
                </wp:positionH>
                <wp:positionV relativeFrom="margin">
                  <wp:align>top</wp:align>
                </wp:positionV>
                <wp:extent cx="2807208" cy="1207008"/>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07208" cy="1207008"/>
                        </a:xfrm>
                        <a:prstGeom prst="rect">
                          <a:avLst/>
                        </a:prstGeom>
                        <a:solidFill>
                          <a:schemeClr val="lt1"/>
                        </a:solidFill>
                        <a:ln w="6350">
                          <a:noFill/>
                        </a:ln>
                      </wps:spPr>
                      <wps:txbx>
                        <w:txbxContent>
                          <w:tbl>
                            <w:tblPr>
                              <w:tblStyle w:val="TableGrid"/>
                              <w:tblW w:w="2875" w:type="dxa"/>
                              <w:jc w:val="center"/>
                              <w:tblLook w:val="04A0" w:firstRow="1" w:lastRow="0" w:firstColumn="1" w:lastColumn="0" w:noHBand="0" w:noVBand="1"/>
                            </w:tblPr>
                            <w:tblGrid>
                              <w:gridCol w:w="1795"/>
                              <w:gridCol w:w="1080"/>
                            </w:tblGrid>
                            <w:tr w:rsidR="003C2511" w:rsidRPr="00F718E4" w14:paraId="48312554" w14:textId="77777777" w:rsidTr="00F718E4">
                              <w:trPr>
                                <w:jc w:val="center"/>
                              </w:trPr>
                              <w:tc>
                                <w:tcPr>
                                  <w:tcW w:w="1795" w:type="dxa"/>
                                  <w:shd w:val="clear" w:color="auto" w:fill="D9D9D9" w:themeFill="background1" w:themeFillShade="D9"/>
                                </w:tcPr>
                                <w:p w14:paraId="5024CE06" w14:textId="7E415CB5" w:rsidR="003C2511" w:rsidRPr="00F718E4" w:rsidRDefault="005F7218" w:rsidP="005F7218">
                                  <w:pPr>
                                    <w:jc w:val="center"/>
                                    <w:rPr>
                                      <w:rFonts w:ascii="Arial" w:hAnsi="Arial" w:cs="Arial"/>
                                      <w:b/>
                                      <w:sz w:val="18"/>
                                      <w:szCs w:val="18"/>
                                    </w:rPr>
                                  </w:pPr>
                                  <w:r w:rsidRPr="00F718E4">
                                    <w:rPr>
                                      <w:rFonts w:ascii="Arial" w:hAnsi="Arial" w:cs="Arial"/>
                                      <w:b/>
                                      <w:noProof/>
                                      <w:sz w:val="18"/>
                                      <w:szCs w:val="18"/>
                                    </w:rPr>
                                    <w:t xml:space="preserve"> </w:t>
                                  </w:r>
                                  <w:r w:rsidR="00F718E4" w:rsidRPr="00F718E4">
                                    <w:rPr>
                                      <w:rFonts w:ascii="Arial" w:hAnsi="Arial" w:cs="Arial"/>
                                      <w:b/>
                                      <w:noProof/>
                                      <w:sz w:val="18"/>
                                      <w:szCs w:val="18"/>
                                    </w:rPr>
                                    <w:t>Variable</w:t>
                                  </w:r>
                                </w:p>
                              </w:tc>
                              <w:tc>
                                <w:tcPr>
                                  <w:tcW w:w="1080" w:type="dxa"/>
                                  <w:shd w:val="clear" w:color="auto" w:fill="D9D9D9" w:themeFill="background1" w:themeFillShade="D9"/>
                                </w:tcPr>
                                <w:p w14:paraId="2F00AE72" w14:textId="1D71BD4B" w:rsidR="003C2511" w:rsidRPr="00F718E4" w:rsidRDefault="00F718E4" w:rsidP="00966C62">
                                  <w:pPr>
                                    <w:jc w:val="center"/>
                                    <w:rPr>
                                      <w:rFonts w:ascii="Arial" w:hAnsi="Arial" w:cs="Arial"/>
                                      <w:b/>
                                      <w:sz w:val="18"/>
                                      <w:szCs w:val="18"/>
                                    </w:rPr>
                                  </w:pPr>
                                  <w:r w:rsidRPr="00F718E4">
                                    <w:rPr>
                                      <w:rFonts w:ascii="Arial" w:hAnsi="Arial" w:cs="Arial"/>
                                      <w:b/>
                                      <w:sz w:val="18"/>
                                      <w:szCs w:val="18"/>
                                    </w:rPr>
                                    <w:t>Quantity</w:t>
                                  </w:r>
                                </w:p>
                              </w:tc>
                            </w:tr>
                            <w:tr w:rsidR="003C2511" w14:paraId="681D0E12" w14:textId="77777777" w:rsidTr="00F718E4">
                              <w:trPr>
                                <w:jc w:val="center"/>
                              </w:trPr>
                              <w:tc>
                                <w:tcPr>
                                  <w:tcW w:w="1795" w:type="dxa"/>
                                </w:tcPr>
                                <w:p w14:paraId="2071E028" w14:textId="7ECBB018" w:rsidR="003C2511" w:rsidRPr="00F718E4" w:rsidRDefault="003C2511" w:rsidP="003C2511">
                                  <w:pPr>
                                    <w:jc w:val="center"/>
                                    <w:rPr>
                                      <w:rFonts w:ascii="Arial" w:hAnsi="Arial" w:cs="Arial"/>
                                      <w:sz w:val="18"/>
                                      <w:szCs w:val="18"/>
                                    </w:rPr>
                                  </w:pPr>
                                  <w:r w:rsidRPr="00F718E4">
                                    <w:rPr>
                                      <w:rFonts w:ascii="Arial" w:hAnsi="Arial" w:cs="Arial"/>
                                      <w:sz w:val="18"/>
                                      <w:szCs w:val="18"/>
                                    </w:rPr>
                                    <w:t>Banks</w:t>
                                  </w:r>
                                </w:p>
                              </w:tc>
                              <w:tc>
                                <w:tcPr>
                                  <w:tcW w:w="1080" w:type="dxa"/>
                                </w:tcPr>
                                <w:p w14:paraId="4BB133CD" w14:textId="7CE89BC6" w:rsidR="003C2511" w:rsidRPr="00F718E4" w:rsidRDefault="003C2511" w:rsidP="00966C62">
                                  <w:pPr>
                                    <w:jc w:val="center"/>
                                    <w:rPr>
                                      <w:rFonts w:ascii="Arial" w:hAnsi="Arial" w:cs="Arial"/>
                                      <w:sz w:val="18"/>
                                      <w:szCs w:val="18"/>
                                    </w:rPr>
                                  </w:pPr>
                                  <w:r w:rsidRPr="00F718E4">
                                    <w:rPr>
                                      <w:rFonts w:ascii="Arial" w:hAnsi="Arial" w:cs="Arial"/>
                                      <w:sz w:val="18"/>
                                      <w:szCs w:val="18"/>
                                    </w:rPr>
                                    <w:t>11,576</w:t>
                                  </w:r>
                                </w:p>
                              </w:tc>
                            </w:tr>
                            <w:tr w:rsidR="003C2511" w14:paraId="48BE3BBF" w14:textId="77777777" w:rsidTr="00F718E4">
                              <w:trPr>
                                <w:jc w:val="center"/>
                              </w:trPr>
                              <w:tc>
                                <w:tcPr>
                                  <w:tcW w:w="1795" w:type="dxa"/>
                                </w:tcPr>
                                <w:p w14:paraId="3DB1B722" w14:textId="14197F52" w:rsidR="003C2511" w:rsidRPr="00F718E4" w:rsidRDefault="003C2511" w:rsidP="005F7218">
                                  <w:pPr>
                                    <w:jc w:val="center"/>
                                    <w:rPr>
                                      <w:rFonts w:ascii="Arial" w:hAnsi="Arial" w:cs="Arial"/>
                                      <w:sz w:val="18"/>
                                      <w:szCs w:val="18"/>
                                    </w:rPr>
                                  </w:pPr>
                                  <w:r w:rsidRPr="00F718E4">
                                    <w:rPr>
                                      <w:rFonts w:ascii="Arial" w:hAnsi="Arial" w:cs="Arial"/>
                                      <w:sz w:val="18"/>
                                      <w:szCs w:val="18"/>
                                    </w:rPr>
                                    <w:t>Quarters</w:t>
                                  </w:r>
                                </w:p>
                              </w:tc>
                              <w:tc>
                                <w:tcPr>
                                  <w:tcW w:w="1080" w:type="dxa"/>
                                </w:tcPr>
                                <w:p w14:paraId="65CB7116" w14:textId="06BF8883" w:rsidR="003C2511" w:rsidRPr="00F718E4" w:rsidRDefault="003C2511" w:rsidP="00966C62">
                                  <w:pPr>
                                    <w:jc w:val="center"/>
                                    <w:rPr>
                                      <w:rFonts w:ascii="Arial" w:hAnsi="Arial" w:cs="Arial"/>
                                      <w:sz w:val="18"/>
                                      <w:szCs w:val="18"/>
                                    </w:rPr>
                                  </w:pPr>
                                  <w:r w:rsidRPr="00F718E4">
                                    <w:rPr>
                                      <w:rFonts w:ascii="Arial" w:hAnsi="Arial" w:cs="Arial"/>
                                      <w:sz w:val="18"/>
                                      <w:szCs w:val="18"/>
                                    </w:rPr>
                                    <w:t>70</w:t>
                                  </w:r>
                                </w:p>
                              </w:tc>
                            </w:tr>
                            <w:tr w:rsidR="003C2511" w14:paraId="43A2E9E4" w14:textId="77777777" w:rsidTr="00F718E4">
                              <w:trPr>
                                <w:jc w:val="center"/>
                              </w:trPr>
                              <w:tc>
                                <w:tcPr>
                                  <w:tcW w:w="1795" w:type="dxa"/>
                                </w:tcPr>
                                <w:p w14:paraId="4506F7A9" w14:textId="1FF37F45" w:rsidR="003C2511" w:rsidRPr="00F718E4" w:rsidRDefault="003C2511" w:rsidP="005F7218">
                                  <w:pPr>
                                    <w:jc w:val="center"/>
                                    <w:rPr>
                                      <w:rFonts w:ascii="Arial" w:hAnsi="Arial" w:cs="Arial"/>
                                      <w:sz w:val="18"/>
                                      <w:szCs w:val="18"/>
                                    </w:rPr>
                                  </w:pPr>
                                  <w:r w:rsidRPr="00F718E4">
                                    <w:rPr>
                                      <w:rFonts w:ascii="Arial" w:hAnsi="Arial" w:cs="Arial"/>
                                      <w:sz w:val="18"/>
                                      <w:szCs w:val="18"/>
                                    </w:rPr>
                                    <w:t>Variables</w:t>
                                  </w:r>
                                </w:p>
                              </w:tc>
                              <w:tc>
                                <w:tcPr>
                                  <w:tcW w:w="1080" w:type="dxa"/>
                                </w:tcPr>
                                <w:p w14:paraId="3757F01A" w14:textId="71C5E017" w:rsidR="003C2511" w:rsidRPr="00F718E4" w:rsidRDefault="003C2511" w:rsidP="00966C62">
                                  <w:pPr>
                                    <w:jc w:val="center"/>
                                    <w:rPr>
                                      <w:rFonts w:ascii="Arial" w:hAnsi="Arial" w:cs="Arial"/>
                                      <w:sz w:val="18"/>
                                      <w:szCs w:val="18"/>
                                    </w:rPr>
                                  </w:pPr>
                                  <w:r w:rsidRPr="00F718E4">
                                    <w:rPr>
                                      <w:rFonts w:ascii="Arial" w:hAnsi="Arial" w:cs="Arial"/>
                                      <w:sz w:val="18"/>
                                      <w:szCs w:val="18"/>
                                    </w:rPr>
                                    <w:t>1,076</w:t>
                                  </w:r>
                                </w:p>
                              </w:tc>
                            </w:tr>
                            <w:tr w:rsidR="003C2511" w14:paraId="2B01616E" w14:textId="77777777" w:rsidTr="00F718E4">
                              <w:trPr>
                                <w:jc w:val="center"/>
                              </w:trPr>
                              <w:tc>
                                <w:tcPr>
                                  <w:tcW w:w="1795" w:type="dxa"/>
                                </w:tcPr>
                                <w:p w14:paraId="5BF39E80" w14:textId="130F7729" w:rsidR="003C2511" w:rsidRPr="00F718E4" w:rsidRDefault="003C2511" w:rsidP="005F7218">
                                  <w:pPr>
                                    <w:jc w:val="center"/>
                                    <w:rPr>
                                      <w:rFonts w:ascii="Arial" w:hAnsi="Arial" w:cs="Arial"/>
                                      <w:sz w:val="18"/>
                                      <w:szCs w:val="18"/>
                                    </w:rPr>
                                  </w:pPr>
                                  <w:r w:rsidRPr="00F718E4">
                                    <w:rPr>
                                      <w:rFonts w:ascii="Arial" w:hAnsi="Arial" w:cs="Arial"/>
                                      <w:sz w:val="18"/>
                                      <w:szCs w:val="18"/>
                                    </w:rPr>
                                    <w:t>Complete Variables</w:t>
                                  </w:r>
                                </w:p>
                              </w:tc>
                              <w:tc>
                                <w:tcPr>
                                  <w:tcW w:w="1080" w:type="dxa"/>
                                </w:tcPr>
                                <w:p w14:paraId="2C148A10" w14:textId="6A029E29" w:rsidR="003C2511" w:rsidRPr="00F718E4" w:rsidRDefault="003C2511" w:rsidP="00966C62">
                                  <w:pPr>
                                    <w:jc w:val="center"/>
                                    <w:rPr>
                                      <w:rFonts w:ascii="Arial" w:hAnsi="Arial" w:cs="Arial"/>
                                      <w:sz w:val="18"/>
                                      <w:szCs w:val="18"/>
                                    </w:rPr>
                                  </w:pPr>
                                  <w:r w:rsidRPr="00F718E4">
                                    <w:rPr>
                                      <w:rFonts w:ascii="Arial" w:hAnsi="Arial" w:cs="Arial"/>
                                      <w:sz w:val="18"/>
                                      <w:szCs w:val="18"/>
                                    </w:rPr>
                                    <w:t>60</w:t>
                                  </w:r>
                                </w:p>
                              </w:tc>
                            </w:tr>
                            <w:tr w:rsidR="003C2511" w14:paraId="083EAB68" w14:textId="77777777" w:rsidTr="00F718E4">
                              <w:trPr>
                                <w:jc w:val="center"/>
                              </w:trPr>
                              <w:tc>
                                <w:tcPr>
                                  <w:tcW w:w="1795" w:type="dxa"/>
                                </w:tcPr>
                                <w:p w14:paraId="6F0375BA" w14:textId="223D4579" w:rsidR="003C2511" w:rsidRPr="00F718E4" w:rsidRDefault="003C2511" w:rsidP="005F7218">
                                  <w:pPr>
                                    <w:jc w:val="center"/>
                                    <w:rPr>
                                      <w:rFonts w:ascii="Arial" w:hAnsi="Arial" w:cs="Arial"/>
                                      <w:sz w:val="18"/>
                                      <w:szCs w:val="18"/>
                                    </w:rPr>
                                  </w:pPr>
                                  <w:r w:rsidRPr="00F718E4">
                                    <w:rPr>
                                      <w:rFonts w:ascii="Arial" w:hAnsi="Arial" w:cs="Arial"/>
                                      <w:sz w:val="18"/>
                                      <w:szCs w:val="18"/>
                                    </w:rPr>
                                    <w:t>Bank Failure</w:t>
                                  </w:r>
                                  <w:r w:rsidR="001A3E74" w:rsidRPr="00F718E4">
                                    <w:rPr>
                                      <w:rFonts w:ascii="Arial" w:hAnsi="Arial" w:cs="Arial"/>
                                      <w:sz w:val="18"/>
                                      <w:szCs w:val="18"/>
                                    </w:rPr>
                                    <w:t>s</w:t>
                                  </w:r>
                                </w:p>
                              </w:tc>
                              <w:tc>
                                <w:tcPr>
                                  <w:tcW w:w="1080" w:type="dxa"/>
                                </w:tcPr>
                                <w:p w14:paraId="72C84652" w14:textId="4693E00C" w:rsidR="003C2511" w:rsidRPr="00F718E4" w:rsidRDefault="003C2511" w:rsidP="00966C62">
                                  <w:pPr>
                                    <w:jc w:val="center"/>
                                    <w:rPr>
                                      <w:rFonts w:ascii="Arial" w:hAnsi="Arial" w:cs="Arial"/>
                                      <w:sz w:val="18"/>
                                      <w:szCs w:val="18"/>
                                    </w:rPr>
                                  </w:pPr>
                                  <w:r w:rsidRPr="00F718E4">
                                    <w:rPr>
                                      <w:rFonts w:ascii="Arial" w:hAnsi="Arial" w:cs="Arial"/>
                                      <w:sz w:val="18"/>
                                      <w:szCs w:val="18"/>
                                    </w:rPr>
                                    <w:t>558</w:t>
                                  </w:r>
                                </w:p>
                              </w:tc>
                            </w:tr>
                          </w:tbl>
                          <w:p w14:paraId="01527B65" w14:textId="3AE993D7" w:rsidR="005F7218" w:rsidRPr="005B1AC3" w:rsidRDefault="00023E6B" w:rsidP="0014592F">
                            <w:pPr>
                              <w:pStyle w:val="Caption"/>
                              <w:spacing w:before="120" w:after="0"/>
                              <w:rPr>
                                <w:rFonts w:ascii="Arial" w:hAnsi="Arial" w:cs="Arial"/>
                                <w:b/>
                                <w:i w:val="0"/>
                                <w:noProof/>
                                <w:color w:val="000000" w:themeColor="text1"/>
                                <w:sz w:val="20"/>
                                <w:szCs w:val="20"/>
                              </w:rPr>
                            </w:pPr>
                            <w:r>
                              <w:rPr>
                                <w:rFonts w:ascii="Arial" w:hAnsi="Arial" w:cs="Arial"/>
                                <w:b/>
                                <w:i w:val="0"/>
                                <w:color w:val="000000" w:themeColor="text1"/>
                                <w:sz w:val="20"/>
                                <w:szCs w:val="20"/>
                              </w:rPr>
                              <w:t xml:space="preserve"> </w:t>
                            </w:r>
                            <w:bookmarkStart w:id="2" w:name="_Ref514221847"/>
                            <w:r w:rsidR="0014592F" w:rsidRPr="0014592F">
                              <w:rPr>
                                <w:rFonts w:ascii="Arial" w:hAnsi="Arial" w:cs="Arial"/>
                                <w:b/>
                                <w:i w:val="0"/>
                                <w:color w:val="000000" w:themeColor="text1"/>
                                <w:sz w:val="20"/>
                                <w:szCs w:val="20"/>
                              </w:rPr>
                              <w:t xml:space="preserve">Table </w:t>
                            </w:r>
                            <w:r w:rsidR="0014592F" w:rsidRPr="0014592F">
                              <w:rPr>
                                <w:rFonts w:ascii="Arial" w:hAnsi="Arial" w:cs="Arial"/>
                                <w:b/>
                                <w:i w:val="0"/>
                                <w:color w:val="000000" w:themeColor="text1"/>
                                <w:sz w:val="20"/>
                                <w:szCs w:val="20"/>
                              </w:rPr>
                              <w:fldChar w:fldCharType="begin"/>
                            </w:r>
                            <w:r w:rsidR="0014592F" w:rsidRPr="0014592F">
                              <w:rPr>
                                <w:rFonts w:ascii="Arial" w:hAnsi="Arial" w:cs="Arial"/>
                                <w:b/>
                                <w:i w:val="0"/>
                                <w:color w:val="000000" w:themeColor="text1"/>
                                <w:sz w:val="20"/>
                                <w:szCs w:val="20"/>
                              </w:rPr>
                              <w:instrText xml:space="preserve"> SEQ Table \* ARABIC </w:instrText>
                            </w:r>
                            <w:r w:rsidR="0014592F" w:rsidRPr="0014592F">
                              <w:rPr>
                                <w:rFonts w:ascii="Arial" w:hAnsi="Arial" w:cs="Arial"/>
                                <w:b/>
                                <w:i w:val="0"/>
                                <w:color w:val="000000" w:themeColor="text1"/>
                                <w:sz w:val="20"/>
                                <w:szCs w:val="20"/>
                              </w:rPr>
                              <w:fldChar w:fldCharType="separate"/>
                            </w:r>
                            <w:r w:rsidR="00BB7995">
                              <w:rPr>
                                <w:rFonts w:ascii="Arial" w:hAnsi="Arial" w:cs="Arial"/>
                                <w:b/>
                                <w:i w:val="0"/>
                                <w:noProof/>
                                <w:color w:val="000000" w:themeColor="text1"/>
                                <w:sz w:val="20"/>
                                <w:szCs w:val="20"/>
                              </w:rPr>
                              <w:t>1</w:t>
                            </w:r>
                            <w:r w:rsidR="0014592F" w:rsidRPr="0014592F">
                              <w:rPr>
                                <w:rFonts w:ascii="Arial" w:hAnsi="Arial" w:cs="Arial"/>
                                <w:b/>
                                <w:i w:val="0"/>
                                <w:color w:val="000000" w:themeColor="text1"/>
                                <w:sz w:val="20"/>
                                <w:szCs w:val="20"/>
                              </w:rPr>
                              <w:fldChar w:fldCharType="end"/>
                            </w:r>
                            <w:bookmarkEnd w:id="2"/>
                            <w:r w:rsidR="0014592F" w:rsidRPr="0014592F">
                              <w:rPr>
                                <w:rFonts w:ascii="Arial" w:hAnsi="Arial" w:cs="Arial"/>
                                <w:b/>
                                <w:i w:val="0"/>
                                <w:color w:val="000000" w:themeColor="text1"/>
                                <w:sz w:val="20"/>
                                <w:szCs w:val="20"/>
                              </w:rPr>
                              <w:t xml:space="preserve">. </w:t>
                            </w:r>
                            <w:r w:rsidR="0014592F" w:rsidRPr="0069389B">
                              <w:rPr>
                                <w:rFonts w:ascii="Arial" w:hAnsi="Arial" w:cs="Arial"/>
                                <w:b/>
                                <w:i w:val="0"/>
                                <w:color w:val="000000" w:themeColor="text1"/>
                                <w:sz w:val="20"/>
                                <w:szCs w:val="20"/>
                              </w:rPr>
                              <w:t>Aggregate statistics for a subset of the data extending from 2000Q1 to 2017Q2</w:t>
                            </w:r>
                          </w:p>
                          <w:p w14:paraId="54548730" w14:textId="77777777" w:rsidR="005F7218" w:rsidRDefault="005F7218" w:rsidP="005F72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EEE71" id="_x0000_t202" coordsize="21600,21600" o:spt="202" path="m,l,21600r21600,l21600,xe">
                <v:stroke joinstyle="miter"/>
                <v:path gradientshapeok="t" o:connecttype="rect"/>
              </v:shapetype>
              <v:shape id="Text Box 7" o:spid="_x0000_s1027" type="#_x0000_t202" style="position:absolute;left:0;text-align:left;margin-left:0;margin-top:0;width:221.05pt;height:95.05pt;z-index:251657216;visibility:visible;mso-wrap-style:square;mso-width-percent:0;mso-height-percent:0;mso-wrap-distance-left:0;mso-wrap-distance-top:0;mso-wrap-distance-right:0;mso-wrap-distance-bottom:10.8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" fillcolor="white [3201]" stroked="f" strokeweight=".5pt">
                <v:textbox inset="0,0,0,0">
                  <w:txbxContent>
                    <w:tbl>
                      <w:tblPr>
                        <w:tblStyle w:val="TableGrid"/>
                        <w:tblW w:w="2875" w:type="dxa"/>
                        <w:jc w:val="center"/>
                        <w:tblLook w:val="04A0" w:firstRow="1" w:lastRow="0" w:firstColumn="1" w:lastColumn="0" w:noHBand="0" w:noVBand="1"/>
                      </w:tblPr>
                      <w:tblGrid>
                        <w:gridCol w:w="1795"/>
                        <w:gridCol w:w="1080"/>
                      </w:tblGrid>
                      <w:tr w:rsidR="003C2511" w:rsidRPr="00F718E4" w14:paraId="48312554" w14:textId="77777777" w:rsidTr="00F718E4">
                        <w:trPr>
                          <w:jc w:val="center"/>
                        </w:trPr>
                        <w:tc>
                          <w:tcPr>
                            <w:tcW w:w="1795" w:type="dxa"/>
                            <w:shd w:val="clear" w:color="auto" w:fill="D9D9D9" w:themeFill="background1" w:themeFillShade="D9"/>
                          </w:tcPr>
                          <w:p w14:paraId="5024CE06" w14:textId="7E415CB5" w:rsidR="003C2511" w:rsidRPr="00F718E4" w:rsidRDefault="005F7218" w:rsidP="005F7218">
                            <w:pPr>
                              <w:jc w:val="center"/>
                              <w:rPr>
                                <w:rFonts w:ascii="Arial" w:hAnsi="Arial" w:cs="Arial"/>
                                <w:b/>
                                <w:sz w:val="18"/>
                                <w:szCs w:val="18"/>
                              </w:rPr>
                            </w:pPr>
                            <w:r w:rsidRPr="00F718E4">
                              <w:rPr>
                                <w:rFonts w:ascii="Arial" w:hAnsi="Arial" w:cs="Arial"/>
                                <w:b/>
                                <w:noProof/>
                                <w:sz w:val="18"/>
                                <w:szCs w:val="18"/>
                              </w:rPr>
                              <w:t xml:space="preserve"> </w:t>
                            </w:r>
                            <w:r w:rsidR="00F718E4" w:rsidRPr="00F718E4">
                              <w:rPr>
                                <w:rFonts w:ascii="Arial" w:hAnsi="Arial" w:cs="Arial"/>
                                <w:b/>
                                <w:noProof/>
                                <w:sz w:val="18"/>
                                <w:szCs w:val="18"/>
                              </w:rPr>
                              <w:t>Variable</w:t>
                            </w:r>
                          </w:p>
                        </w:tc>
                        <w:tc>
                          <w:tcPr>
                            <w:tcW w:w="1080" w:type="dxa"/>
                            <w:shd w:val="clear" w:color="auto" w:fill="D9D9D9" w:themeFill="background1" w:themeFillShade="D9"/>
                          </w:tcPr>
                          <w:p w14:paraId="2F00AE72" w14:textId="1D71BD4B" w:rsidR="003C2511" w:rsidRPr="00F718E4" w:rsidRDefault="00F718E4" w:rsidP="00966C62">
                            <w:pPr>
                              <w:jc w:val="center"/>
                              <w:rPr>
                                <w:rFonts w:ascii="Arial" w:hAnsi="Arial" w:cs="Arial"/>
                                <w:b/>
                                <w:sz w:val="18"/>
                                <w:szCs w:val="18"/>
                              </w:rPr>
                            </w:pPr>
                            <w:r w:rsidRPr="00F718E4">
                              <w:rPr>
                                <w:rFonts w:ascii="Arial" w:hAnsi="Arial" w:cs="Arial"/>
                                <w:b/>
                                <w:sz w:val="18"/>
                                <w:szCs w:val="18"/>
                              </w:rPr>
                              <w:t>Quantity</w:t>
                            </w:r>
                          </w:p>
                        </w:tc>
                      </w:tr>
                      <w:tr w:rsidR="003C2511" w14:paraId="681D0E12" w14:textId="77777777" w:rsidTr="00F718E4">
                        <w:trPr>
                          <w:jc w:val="center"/>
                        </w:trPr>
                        <w:tc>
                          <w:tcPr>
                            <w:tcW w:w="1795" w:type="dxa"/>
                          </w:tcPr>
                          <w:p w14:paraId="2071E028" w14:textId="7ECBB018" w:rsidR="003C2511" w:rsidRPr="00F718E4" w:rsidRDefault="003C2511" w:rsidP="003C2511">
                            <w:pPr>
                              <w:jc w:val="center"/>
                              <w:rPr>
                                <w:rFonts w:ascii="Arial" w:hAnsi="Arial" w:cs="Arial"/>
                                <w:sz w:val="18"/>
                                <w:szCs w:val="18"/>
                              </w:rPr>
                            </w:pPr>
                            <w:r w:rsidRPr="00F718E4">
                              <w:rPr>
                                <w:rFonts w:ascii="Arial" w:hAnsi="Arial" w:cs="Arial"/>
                                <w:sz w:val="18"/>
                                <w:szCs w:val="18"/>
                              </w:rPr>
                              <w:t>Banks</w:t>
                            </w:r>
                          </w:p>
                        </w:tc>
                        <w:tc>
                          <w:tcPr>
                            <w:tcW w:w="1080" w:type="dxa"/>
                          </w:tcPr>
                          <w:p w14:paraId="4BB133CD" w14:textId="7CE89BC6" w:rsidR="003C2511" w:rsidRPr="00F718E4" w:rsidRDefault="003C2511" w:rsidP="00966C62">
                            <w:pPr>
                              <w:jc w:val="center"/>
                              <w:rPr>
                                <w:rFonts w:ascii="Arial" w:hAnsi="Arial" w:cs="Arial"/>
                                <w:sz w:val="18"/>
                                <w:szCs w:val="18"/>
                              </w:rPr>
                            </w:pPr>
                            <w:r w:rsidRPr="00F718E4">
                              <w:rPr>
                                <w:rFonts w:ascii="Arial" w:hAnsi="Arial" w:cs="Arial"/>
                                <w:sz w:val="18"/>
                                <w:szCs w:val="18"/>
                              </w:rPr>
                              <w:t>11,576</w:t>
                            </w:r>
                          </w:p>
                        </w:tc>
                      </w:tr>
                      <w:tr w:rsidR="003C2511" w14:paraId="48BE3BBF" w14:textId="77777777" w:rsidTr="00F718E4">
                        <w:trPr>
                          <w:jc w:val="center"/>
                        </w:trPr>
                        <w:tc>
                          <w:tcPr>
                            <w:tcW w:w="1795" w:type="dxa"/>
                          </w:tcPr>
                          <w:p w14:paraId="3DB1B722" w14:textId="14197F52" w:rsidR="003C2511" w:rsidRPr="00F718E4" w:rsidRDefault="003C2511" w:rsidP="005F7218">
                            <w:pPr>
                              <w:jc w:val="center"/>
                              <w:rPr>
                                <w:rFonts w:ascii="Arial" w:hAnsi="Arial" w:cs="Arial"/>
                                <w:sz w:val="18"/>
                                <w:szCs w:val="18"/>
                              </w:rPr>
                            </w:pPr>
                            <w:r w:rsidRPr="00F718E4">
                              <w:rPr>
                                <w:rFonts w:ascii="Arial" w:hAnsi="Arial" w:cs="Arial"/>
                                <w:sz w:val="18"/>
                                <w:szCs w:val="18"/>
                              </w:rPr>
                              <w:t>Quarters</w:t>
                            </w:r>
                          </w:p>
                        </w:tc>
                        <w:tc>
                          <w:tcPr>
                            <w:tcW w:w="1080" w:type="dxa"/>
                          </w:tcPr>
                          <w:p w14:paraId="65CB7116" w14:textId="06BF8883" w:rsidR="003C2511" w:rsidRPr="00F718E4" w:rsidRDefault="003C2511" w:rsidP="00966C62">
                            <w:pPr>
                              <w:jc w:val="center"/>
                              <w:rPr>
                                <w:rFonts w:ascii="Arial" w:hAnsi="Arial" w:cs="Arial"/>
                                <w:sz w:val="18"/>
                                <w:szCs w:val="18"/>
                              </w:rPr>
                            </w:pPr>
                            <w:r w:rsidRPr="00F718E4">
                              <w:rPr>
                                <w:rFonts w:ascii="Arial" w:hAnsi="Arial" w:cs="Arial"/>
                                <w:sz w:val="18"/>
                                <w:szCs w:val="18"/>
                              </w:rPr>
                              <w:t>70</w:t>
                            </w:r>
                          </w:p>
                        </w:tc>
                      </w:tr>
                      <w:tr w:rsidR="003C2511" w14:paraId="43A2E9E4" w14:textId="77777777" w:rsidTr="00F718E4">
                        <w:trPr>
                          <w:jc w:val="center"/>
                        </w:trPr>
                        <w:tc>
                          <w:tcPr>
                            <w:tcW w:w="1795" w:type="dxa"/>
                          </w:tcPr>
                          <w:p w14:paraId="4506F7A9" w14:textId="1FF37F45" w:rsidR="003C2511" w:rsidRPr="00F718E4" w:rsidRDefault="003C2511" w:rsidP="005F7218">
                            <w:pPr>
                              <w:jc w:val="center"/>
                              <w:rPr>
                                <w:rFonts w:ascii="Arial" w:hAnsi="Arial" w:cs="Arial"/>
                                <w:sz w:val="18"/>
                                <w:szCs w:val="18"/>
                              </w:rPr>
                            </w:pPr>
                            <w:r w:rsidRPr="00F718E4">
                              <w:rPr>
                                <w:rFonts w:ascii="Arial" w:hAnsi="Arial" w:cs="Arial"/>
                                <w:sz w:val="18"/>
                                <w:szCs w:val="18"/>
                              </w:rPr>
                              <w:t>Variables</w:t>
                            </w:r>
                          </w:p>
                        </w:tc>
                        <w:tc>
                          <w:tcPr>
                            <w:tcW w:w="1080" w:type="dxa"/>
                          </w:tcPr>
                          <w:p w14:paraId="3757F01A" w14:textId="71C5E017" w:rsidR="003C2511" w:rsidRPr="00F718E4" w:rsidRDefault="003C2511" w:rsidP="00966C62">
                            <w:pPr>
                              <w:jc w:val="center"/>
                              <w:rPr>
                                <w:rFonts w:ascii="Arial" w:hAnsi="Arial" w:cs="Arial"/>
                                <w:sz w:val="18"/>
                                <w:szCs w:val="18"/>
                              </w:rPr>
                            </w:pPr>
                            <w:r w:rsidRPr="00F718E4">
                              <w:rPr>
                                <w:rFonts w:ascii="Arial" w:hAnsi="Arial" w:cs="Arial"/>
                                <w:sz w:val="18"/>
                                <w:szCs w:val="18"/>
                              </w:rPr>
                              <w:t>1,076</w:t>
                            </w:r>
                          </w:p>
                        </w:tc>
                      </w:tr>
                      <w:tr w:rsidR="003C2511" w14:paraId="2B01616E" w14:textId="77777777" w:rsidTr="00F718E4">
                        <w:trPr>
                          <w:jc w:val="center"/>
                        </w:trPr>
                        <w:tc>
                          <w:tcPr>
                            <w:tcW w:w="1795" w:type="dxa"/>
                          </w:tcPr>
                          <w:p w14:paraId="5BF39E80" w14:textId="130F7729" w:rsidR="003C2511" w:rsidRPr="00F718E4" w:rsidRDefault="003C2511" w:rsidP="005F7218">
                            <w:pPr>
                              <w:jc w:val="center"/>
                              <w:rPr>
                                <w:rFonts w:ascii="Arial" w:hAnsi="Arial" w:cs="Arial"/>
                                <w:sz w:val="18"/>
                                <w:szCs w:val="18"/>
                              </w:rPr>
                            </w:pPr>
                            <w:r w:rsidRPr="00F718E4">
                              <w:rPr>
                                <w:rFonts w:ascii="Arial" w:hAnsi="Arial" w:cs="Arial"/>
                                <w:sz w:val="18"/>
                                <w:szCs w:val="18"/>
                              </w:rPr>
                              <w:t>Complete Variables</w:t>
                            </w:r>
                          </w:p>
                        </w:tc>
                        <w:tc>
                          <w:tcPr>
                            <w:tcW w:w="1080" w:type="dxa"/>
                          </w:tcPr>
                          <w:p w14:paraId="2C148A10" w14:textId="6A029E29" w:rsidR="003C2511" w:rsidRPr="00F718E4" w:rsidRDefault="003C2511" w:rsidP="00966C62">
                            <w:pPr>
                              <w:jc w:val="center"/>
                              <w:rPr>
                                <w:rFonts w:ascii="Arial" w:hAnsi="Arial" w:cs="Arial"/>
                                <w:sz w:val="18"/>
                                <w:szCs w:val="18"/>
                              </w:rPr>
                            </w:pPr>
                            <w:r w:rsidRPr="00F718E4">
                              <w:rPr>
                                <w:rFonts w:ascii="Arial" w:hAnsi="Arial" w:cs="Arial"/>
                                <w:sz w:val="18"/>
                                <w:szCs w:val="18"/>
                              </w:rPr>
                              <w:t>60</w:t>
                            </w:r>
                          </w:p>
                        </w:tc>
                      </w:tr>
                      <w:tr w:rsidR="003C2511" w14:paraId="083EAB68" w14:textId="77777777" w:rsidTr="00F718E4">
                        <w:trPr>
                          <w:jc w:val="center"/>
                        </w:trPr>
                        <w:tc>
                          <w:tcPr>
                            <w:tcW w:w="1795" w:type="dxa"/>
                          </w:tcPr>
                          <w:p w14:paraId="6F0375BA" w14:textId="223D4579" w:rsidR="003C2511" w:rsidRPr="00F718E4" w:rsidRDefault="003C2511" w:rsidP="005F7218">
                            <w:pPr>
                              <w:jc w:val="center"/>
                              <w:rPr>
                                <w:rFonts w:ascii="Arial" w:hAnsi="Arial" w:cs="Arial"/>
                                <w:sz w:val="18"/>
                                <w:szCs w:val="18"/>
                              </w:rPr>
                            </w:pPr>
                            <w:r w:rsidRPr="00F718E4">
                              <w:rPr>
                                <w:rFonts w:ascii="Arial" w:hAnsi="Arial" w:cs="Arial"/>
                                <w:sz w:val="18"/>
                                <w:szCs w:val="18"/>
                              </w:rPr>
                              <w:t>Bank Failure</w:t>
                            </w:r>
                            <w:r w:rsidR="001A3E74" w:rsidRPr="00F718E4">
                              <w:rPr>
                                <w:rFonts w:ascii="Arial" w:hAnsi="Arial" w:cs="Arial"/>
                                <w:sz w:val="18"/>
                                <w:szCs w:val="18"/>
                              </w:rPr>
                              <w:t>s</w:t>
                            </w:r>
                          </w:p>
                        </w:tc>
                        <w:tc>
                          <w:tcPr>
                            <w:tcW w:w="1080" w:type="dxa"/>
                          </w:tcPr>
                          <w:p w14:paraId="72C84652" w14:textId="4693E00C" w:rsidR="003C2511" w:rsidRPr="00F718E4" w:rsidRDefault="003C2511" w:rsidP="00966C62">
                            <w:pPr>
                              <w:jc w:val="center"/>
                              <w:rPr>
                                <w:rFonts w:ascii="Arial" w:hAnsi="Arial" w:cs="Arial"/>
                                <w:sz w:val="18"/>
                                <w:szCs w:val="18"/>
                              </w:rPr>
                            </w:pPr>
                            <w:r w:rsidRPr="00F718E4">
                              <w:rPr>
                                <w:rFonts w:ascii="Arial" w:hAnsi="Arial" w:cs="Arial"/>
                                <w:sz w:val="18"/>
                                <w:szCs w:val="18"/>
                              </w:rPr>
                              <w:t>558</w:t>
                            </w:r>
                          </w:p>
                        </w:tc>
                      </w:tr>
                    </w:tbl>
                    <w:p w14:paraId="01527B65" w14:textId="3AE993D7" w:rsidR="005F7218" w:rsidRPr="005B1AC3" w:rsidRDefault="00023E6B" w:rsidP="0014592F">
                      <w:pPr>
                        <w:pStyle w:val="Caption"/>
                        <w:spacing w:before="120" w:after="0"/>
                        <w:rPr>
                          <w:rFonts w:ascii="Arial" w:hAnsi="Arial" w:cs="Arial"/>
                          <w:b/>
                          <w:i w:val="0"/>
                          <w:noProof/>
                          <w:color w:val="000000" w:themeColor="text1"/>
                          <w:sz w:val="20"/>
                          <w:szCs w:val="20"/>
                        </w:rPr>
                      </w:pPr>
                      <w:r>
                        <w:rPr>
                          <w:rFonts w:ascii="Arial" w:hAnsi="Arial" w:cs="Arial"/>
                          <w:b/>
                          <w:i w:val="0"/>
                          <w:color w:val="000000" w:themeColor="text1"/>
                          <w:sz w:val="20"/>
                          <w:szCs w:val="20"/>
                        </w:rPr>
                        <w:t xml:space="preserve"> </w:t>
                      </w:r>
                      <w:bookmarkStart w:id="3" w:name="_Ref514221847"/>
                      <w:r w:rsidR="0014592F" w:rsidRPr="0014592F">
                        <w:rPr>
                          <w:rFonts w:ascii="Arial" w:hAnsi="Arial" w:cs="Arial"/>
                          <w:b/>
                          <w:i w:val="0"/>
                          <w:color w:val="000000" w:themeColor="text1"/>
                          <w:sz w:val="20"/>
                          <w:szCs w:val="20"/>
                        </w:rPr>
                        <w:t xml:space="preserve">Table </w:t>
                      </w:r>
                      <w:r w:rsidR="0014592F" w:rsidRPr="0014592F">
                        <w:rPr>
                          <w:rFonts w:ascii="Arial" w:hAnsi="Arial" w:cs="Arial"/>
                          <w:b/>
                          <w:i w:val="0"/>
                          <w:color w:val="000000" w:themeColor="text1"/>
                          <w:sz w:val="20"/>
                          <w:szCs w:val="20"/>
                        </w:rPr>
                        <w:fldChar w:fldCharType="begin"/>
                      </w:r>
                      <w:r w:rsidR="0014592F" w:rsidRPr="0014592F">
                        <w:rPr>
                          <w:rFonts w:ascii="Arial" w:hAnsi="Arial" w:cs="Arial"/>
                          <w:b/>
                          <w:i w:val="0"/>
                          <w:color w:val="000000" w:themeColor="text1"/>
                          <w:sz w:val="20"/>
                          <w:szCs w:val="20"/>
                        </w:rPr>
                        <w:instrText xml:space="preserve"> SEQ Table \* ARABIC </w:instrText>
                      </w:r>
                      <w:r w:rsidR="0014592F" w:rsidRPr="0014592F">
                        <w:rPr>
                          <w:rFonts w:ascii="Arial" w:hAnsi="Arial" w:cs="Arial"/>
                          <w:b/>
                          <w:i w:val="0"/>
                          <w:color w:val="000000" w:themeColor="text1"/>
                          <w:sz w:val="20"/>
                          <w:szCs w:val="20"/>
                        </w:rPr>
                        <w:fldChar w:fldCharType="separate"/>
                      </w:r>
                      <w:r w:rsidR="00BB7995">
                        <w:rPr>
                          <w:rFonts w:ascii="Arial" w:hAnsi="Arial" w:cs="Arial"/>
                          <w:b/>
                          <w:i w:val="0"/>
                          <w:noProof/>
                          <w:color w:val="000000" w:themeColor="text1"/>
                          <w:sz w:val="20"/>
                          <w:szCs w:val="20"/>
                        </w:rPr>
                        <w:t>1</w:t>
                      </w:r>
                      <w:r w:rsidR="0014592F" w:rsidRPr="0014592F">
                        <w:rPr>
                          <w:rFonts w:ascii="Arial" w:hAnsi="Arial" w:cs="Arial"/>
                          <w:b/>
                          <w:i w:val="0"/>
                          <w:color w:val="000000" w:themeColor="text1"/>
                          <w:sz w:val="20"/>
                          <w:szCs w:val="20"/>
                        </w:rPr>
                        <w:fldChar w:fldCharType="end"/>
                      </w:r>
                      <w:bookmarkEnd w:id="3"/>
                      <w:r w:rsidR="0014592F" w:rsidRPr="0014592F">
                        <w:rPr>
                          <w:rFonts w:ascii="Arial" w:hAnsi="Arial" w:cs="Arial"/>
                          <w:b/>
                          <w:i w:val="0"/>
                          <w:color w:val="000000" w:themeColor="text1"/>
                          <w:sz w:val="20"/>
                          <w:szCs w:val="20"/>
                        </w:rPr>
                        <w:t xml:space="preserve">. </w:t>
                      </w:r>
                      <w:r w:rsidR="0014592F" w:rsidRPr="0069389B">
                        <w:rPr>
                          <w:rFonts w:ascii="Arial" w:hAnsi="Arial" w:cs="Arial"/>
                          <w:b/>
                          <w:i w:val="0"/>
                          <w:color w:val="000000" w:themeColor="text1"/>
                          <w:sz w:val="20"/>
                          <w:szCs w:val="20"/>
                        </w:rPr>
                        <w:t>Aggregate statistics for a subset of the data extending from 2000Q1 to 2017Q2</w:t>
                      </w:r>
                    </w:p>
                    <w:p w14:paraId="54548730" w14:textId="77777777" w:rsidR="005F7218" w:rsidRDefault="005F7218" w:rsidP="005F7218"/>
                  </w:txbxContent>
                </v:textbox>
                <w10:wrap type="square" anchorx="margin" anchory="margin"/>
              </v:shape>
            </w:pict>
          </mc:Fallback>
        </mc:AlternateContent>
      </w:r>
      <w:r w:rsidR="00BF632A">
        <w:rPr>
          <w:sz w:val="20"/>
          <w:szCs w:val="20"/>
        </w:rPr>
        <w:t xml:space="preserve">Formatting data to be amenable to processing by approaches such as CNN also </w:t>
      </w:r>
      <w:r w:rsidR="004A56F4">
        <w:rPr>
          <w:sz w:val="20"/>
          <w:szCs w:val="20"/>
        </w:rPr>
        <w:t>proved challenging</w:t>
      </w:r>
      <w:r w:rsidR="00BF632A">
        <w:rPr>
          <w:sz w:val="20"/>
          <w:szCs w:val="20"/>
        </w:rPr>
        <w:t xml:space="preserve"> </w:t>
      </w:r>
      <w:r w:rsidR="004A56F4">
        <w:rPr>
          <w:sz w:val="20"/>
          <w:szCs w:val="20"/>
        </w:rPr>
        <w:t xml:space="preserve">due to the </w:t>
      </w:r>
      <w:r w:rsidR="00BF632A">
        <w:rPr>
          <w:sz w:val="20"/>
          <w:szCs w:val="20"/>
        </w:rPr>
        <w:t xml:space="preserve">way the </w:t>
      </w:r>
      <w:r w:rsidR="004A56F4">
        <w:rPr>
          <w:sz w:val="20"/>
          <w:szCs w:val="20"/>
        </w:rPr>
        <w:t>SDI</w:t>
      </w:r>
      <w:r w:rsidR="00BF632A">
        <w:rPr>
          <w:sz w:val="20"/>
          <w:szCs w:val="20"/>
        </w:rPr>
        <w:t xml:space="preserve"> data w</w:t>
      </w:r>
      <w:r w:rsidR="007A2EBA">
        <w:rPr>
          <w:sz w:val="20"/>
          <w:szCs w:val="20"/>
        </w:rPr>
        <w:t>ere</w:t>
      </w:r>
      <w:r w:rsidR="00BF632A">
        <w:rPr>
          <w:sz w:val="20"/>
          <w:szCs w:val="20"/>
        </w:rPr>
        <w:t xml:space="preserve"> organized</w:t>
      </w:r>
      <w:r w:rsidR="004A56F4">
        <w:rPr>
          <w:sz w:val="20"/>
          <w:szCs w:val="20"/>
        </w:rPr>
        <w:t>.</w:t>
      </w:r>
      <w:r w:rsidR="00BF632A">
        <w:rPr>
          <w:sz w:val="20"/>
          <w:szCs w:val="20"/>
        </w:rPr>
        <w:t xml:space="preserve"> </w:t>
      </w:r>
      <w:r w:rsidR="004A56F4">
        <w:rPr>
          <w:sz w:val="20"/>
          <w:szCs w:val="20"/>
        </w:rPr>
        <w:t xml:space="preserve">The FDIC organized all data by quarter, rather than by bank, as is necessary for predicting classifications of the banks. Further, each quarter is divided into </w:t>
      </w:r>
      <w:r w:rsidR="00BF632A">
        <w:rPr>
          <w:sz w:val="20"/>
          <w:szCs w:val="20"/>
        </w:rPr>
        <w:t>approximately 6</w:t>
      </w:r>
      <w:r w:rsidR="004A56F4">
        <w:rPr>
          <w:sz w:val="20"/>
          <w:szCs w:val="20"/>
        </w:rPr>
        <w:t xml:space="preserve">5 categories </w:t>
      </w:r>
      <w:r w:rsidR="00BF632A">
        <w:rPr>
          <w:sz w:val="20"/>
          <w:szCs w:val="20"/>
        </w:rPr>
        <w:t xml:space="preserve">in separate </w:t>
      </w:r>
      <w:r w:rsidR="004A56F4">
        <w:rPr>
          <w:sz w:val="20"/>
          <w:szCs w:val="20"/>
        </w:rPr>
        <w:t>spreadsheets</w:t>
      </w:r>
      <w:r w:rsidR="00BF632A">
        <w:rPr>
          <w:sz w:val="20"/>
          <w:szCs w:val="20"/>
        </w:rPr>
        <w:t xml:space="preserve"> organized by topics such as </w:t>
      </w:r>
      <w:r w:rsidR="004A56F4">
        <w:rPr>
          <w:sz w:val="20"/>
          <w:szCs w:val="20"/>
        </w:rPr>
        <w:t>assets &amp; liabilities, derivatives, or securities. Consequently, data had to be merged between files within each quarter. These files contained duplicated variables, such as finding derivatives (</w:t>
      </w:r>
      <w:r w:rsidR="005B05BC">
        <w:rPr>
          <w:sz w:val="20"/>
          <w:szCs w:val="20"/>
        </w:rPr>
        <w:t>“</w:t>
      </w:r>
      <w:r w:rsidR="004A56F4">
        <w:rPr>
          <w:sz w:val="20"/>
          <w:szCs w:val="20"/>
        </w:rPr>
        <w:t>obsdir</w:t>
      </w:r>
      <w:r w:rsidR="005B05BC">
        <w:rPr>
          <w:sz w:val="20"/>
          <w:szCs w:val="20"/>
        </w:rPr>
        <w:t>”</w:t>
      </w:r>
      <w:r w:rsidR="004A56F4">
        <w:rPr>
          <w:sz w:val="20"/>
          <w:szCs w:val="20"/>
        </w:rPr>
        <w:t xml:space="preserve">) in both the </w:t>
      </w:r>
      <w:r>
        <w:rPr>
          <w:sz w:val="20"/>
          <w:szCs w:val="20"/>
        </w:rPr>
        <w:t>“assets &amp; </w:t>
      </w:r>
      <w:r w:rsidR="004A56F4">
        <w:rPr>
          <w:sz w:val="20"/>
          <w:szCs w:val="20"/>
        </w:rPr>
        <w:t>liabilities</w:t>
      </w:r>
      <w:r>
        <w:rPr>
          <w:sz w:val="20"/>
          <w:szCs w:val="20"/>
        </w:rPr>
        <w:t xml:space="preserve">” </w:t>
      </w:r>
      <w:r w:rsidR="004A56F4">
        <w:rPr>
          <w:sz w:val="20"/>
          <w:szCs w:val="20"/>
        </w:rPr>
        <w:t xml:space="preserve">spreadsheets and the </w:t>
      </w:r>
      <w:r w:rsidR="005B05BC">
        <w:rPr>
          <w:sz w:val="20"/>
          <w:szCs w:val="20"/>
        </w:rPr>
        <w:t>“</w:t>
      </w:r>
      <w:r w:rsidR="004A56F4">
        <w:rPr>
          <w:sz w:val="20"/>
          <w:szCs w:val="20"/>
        </w:rPr>
        <w:t>derivatives</w:t>
      </w:r>
      <w:r w:rsidR="005B05BC">
        <w:rPr>
          <w:sz w:val="20"/>
          <w:szCs w:val="20"/>
        </w:rPr>
        <w:t>”</w:t>
      </w:r>
      <w:r w:rsidR="004A56F4">
        <w:rPr>
          <w:sz w:val="20"/>
          <w:szCs w:val="20"/>
        </w:rPr>
        <w:t xml:space="preserve"> spreadsheets. Further complicating the issue was the fact that variables did not correspond to the same column indi</w:t>
      </w:r>
      <w:r w:rsidR="00520042">
        <w:rPr>
          <w:sz w:val="20"/>
          <w:szCs w:val="20"/>
        </w:rPr>
        <w:t>ces in every quarter.</w:t>
      </w:r>
    </w:p>
    <w:p w14:paraId="051D8784" w14:textId="37020AFF" w:rsidR="004A56F4" w:rsidRDefault="00BF632A" w:rsidP="00EB710F">
      <w:pPr>
        <w:ind w:firstLine="284"/>
        <w:jc w:val="both"/>
        <w:rPr>
          <w:sz w:val="20"/>
          <w:szCs w:val="20"/>
        </w:rPr>
      </w:pPr>
      <w:r>
        <w:rPr>
          <w:sz w:val="20"/>
          <w:szCs w:val="20"/>
        </w:rPr>
        <w:t>The process of condensing th</w:t>
      </w:r>
      <w:r w:rsidR="007A2EBA">
        <w:rPr>
          <w:sz w:val="20"/>
          <w:szCs w:val="20"/>
        </w:rPr>
        <w:t>ese</w:t>
      </w:r>
      <w:r>
        <w:rPr>
          <w:sz w:val="20"/>
          <w:szCs w:val="20"/>
        </w:rPr>
        <w:t xml:space="preserve"> data so </w:t>
      </w:r>
      <w:r w:rsidR="009B79C8">
        <w:rPr>
          <w:sz w:val="20"/>
          <w:szCs w:val="20"/>
        </w:rPr>
        <w:t>they were</w:t>
      </w:r>
      <w:r>
        <w:rPr>
          <w:sz w:val="20"/>
          <w:szCs w:val="20"/>
        </w:rPr>
        <w:t xml:space="preserve"> organized by bank was not trivial since the post-2000 epoch </w:t>
      </w:r>
      <w:r w:rsidR="004A56F4">
        <w:rPr>
          <w:sz w:val="20"/>
          <w:szCs w:val="20"/>
        </w:rPr>
        <w:t xml:space="preserve">contains 4,278 </w:t>
      </w:r>
      <w:r>
        <w:rPr>
          <w:sz w:val="20"/>
          <w:szCs w:val="20"/>
        </w:rPr>
        <w:t>f</w:t>
      </w:r>
      <w:r w:rsidR="004A56F4">
        <w:rPr>
          <w:sz w:val="20"/>
          <w:szCs w:val="20"/>
        </w:rPr>
        <w:t xml:space="preserve">iles of data </w:t>
      </w:r>
      <w:r>
        <w:rPr>
          <w:sz w:val="20"/>
          <w:szCs w:val="20"/>
        </w:rPr>
        <w:t>w</w:t>
      </w:r>
      <w:r w:rsidR="004A56F4">
        <w:rPr>
          <w:sz w:val="20"/>
          <w:szCs w:val="20"/>
        </w:rPr>
        <w:t>ith 11,536 cert numbers</w:t>
      </w:r>
      <w:r>
        <w:rPr>
          <w:sz w:val="20"/>
          <w:szCs w:val="20"/>
        </w:rPr>
        <w:t>. E</w:t>
      </w:r>
      <w:r w:rsidR="004A56F4">
        <w:rPr>
          <w:sz w:val="20"/>
          <w:szCs w:val="20"/>
        </w:rPr>
        <w:t>ach quarter had its spreadsheets condensed into one master spreadsheet for the entire quarter, containing no duplicated variables. There were 70 such files, each of which had to be opened 11,536 times for a total of 807,520 file openings. This still resulted in prohibitively long run times, even spread over 12 parallel jobs of 1</w:t>
      </w:r>
      <w:r>
        <w:rPr>
          <w:sz w:val="20"/>
          <w:szCs w:val="20"/>
        </w:rPr>
        <w:t>,</w:t>
      </w:r>
      <w:r w:rsidR="004A56F4">
        <w:rPr>
          <w:sz w:val="20"/>
          <w:szCs w:val="20"/>
        </w:rPr>
        <w:t>000 banks each</w:t>
      </w:r>
      <w:r>
        <w:rPr>
          <w:sz w:val="20"/>
          <w:szCs w:val="20"/>
        </w:rPr>
        <w:t>. Since software was scripted in Python, this added an additional level of inefficiency.</w:t>
      </w:r>
    </w:p>
    <w:p w14:paraId="65963181" w14:textId="58F08B64" w:rsidR="00EE1385" w:rsidRDefault="00BF632A" w:rsidP="00EB710F">
      <w:pPr>
        <w:ind w:firstLine="284"/>
        <w:jc w:val="both"/>
        <w:rPr>
          <w:sz w:val="20"/>
          <w:szCs w:val="20"/>
        </w:rPr>
      </w:pPr>
      <w:r>
        <w:rPr>
          <w:sz w:val="20"/>
          <w:szCs w:val="20"/>
        </w:rPr>
        <w:t xml:space="preserve">Once the data </w:t>
      </w:r>
      <w:r w:rsidR="007A2EBA">
        <w:rPr>
          <w:sz w:val="20"/>
          <w:szCs w:val="20"/>
        </w:rPr>
        <w:t>were</w:t>
      </w:r>
      <w:r>
        <w:rPr>
          <w:sz w:val="20"/>
          <w:szCs w:val="20"/>
        </w:rPr>
        <w:t xml:space="preserve"> properly preprocessed, </w:t>
      </w:r>
      <w:r w:rsidR="00431BBC">
        <w:rPr>
          <w:sz w:val="20"/>
          <w:szCs w:val="20"/>
        </w:rPr>
        <w:t>they</w:t>
      </w:r>
      <w:r>
        <w:rPr>
          <w:sz w:val="20"/>
          <w:szCs w:val="20"/>
        </w:rPr>
        <w:t xml:space="preserve"> still needed to be organized into training and </w:t>
      </w:r>
      <w:r w:rsidR="004C1441">
        <w:rPr>
          <w:sz w:val="20"/>
          <w:szCs w:val="20"/>
        </w:rPr>
        <w:t>testing</w:t>
      </w:r>
      <w:r>
        <w:rPr>
          <w:sz w:val="20"/>
          <w:szCs w:val="20"/>
        </w:rPr>
        <w:t xml:space="preserve"> data so that pilot experiments could be run. </w:t>
      </w:r>
      <w:r w:rsidR="00EE1385">
        <w:rPr>
          <w:sz w:val="20"/>
          <w:szCs w:val="20"/>
        </w:rPr>
        <w:t xml:space="preserve">We also needed to integrate failure data. </w:t>
      </w:r>
      <w:r>
        <w:rPr>
          <w:sz w:val="20"/>
          <w:szCs w:val="20"/>
        </w:rPr>
        <w:t>We did not consider blind evaluation data in our pilot experiments</w:t>
      </w:r>
      <w:r w:rsidR="00EE1385">
        <w:rPr>
          <w:sz w:val="20"/>
          <w:szCs w:val="20"/>
        </w:rPr>
        <w:t xml:space="preserve"> due to the limited amount of data and the fact that we were not going to do excessive parameter tweaking. In this study, we were mainly interested in assessing the suitability of the data for this type of research.</w:t>
      </w:r>
    </w:p>
    <w:p w14:paraId="5056CF08" w14:textId="733CDF38" w:rsidR="004A56F4" w:rsidRDefault="004A56F4" w:rsidP="00EB710F">
      <w:pPr>
        <w:ind w:firstLine="284"/>
        <w:jc w:val="both"/>
        <w:rPr>
          <w:sz w:val="20"/>
          <w:szCs w:val="20"/>
        </w:rPr>
      </w:pPr>
      <w:r>
        <w:rPr>
          <w:sz w:val="20"/>
          <w:szCs w:val="20"/>
        </w:rPr>
        <w:t>The FDIC provides a list of bank failures and the date of failure</w:t>
      </w:r>
      <w:r w:rsidR="00EE1385">
        <w:rPr>
          <w:sz w:val="20"/>
          <w:szCs w:val="20"/>
        </w:rPr>
        <w:t xml:space="preserve">. </w:t>
      </w:r>
      <w:r>
        <w:rPr>
          <w:sz w:val="20"/>
          <w:szCs w:val="20"/>
        </w:rPr>
        <w:t xml:space="preserve">Exactly 500 failed banks existed for 20 or more quarters during the post-2000 epoch, and thousands of successful banks existed for 20 quarters. Those 500 failed banks were partitioned into 400 for training and 100 for testing. The successful banks were allocated at random into a training set of 400 and a testing set of 100, giving both the training and testing sets </w:t>
      </w:r>
      <w:r w:rsidR="0050461F">
        <w:rPr>
          <w:sz w:val="20"/>
          <w:szCs w:val="20"/>
        </w:rPr>
        <w:t xml:space="preserve">an equal number of failed and healthy </w:t>
      </w:r>
      <w:r>
        <w:rPr>
          <w:sz w:val="20"/>
          <w:szCs w:val="20"/>
        </w:rPr>
        <w:t>banks.</w:t>
      </w:r>
    </w:p>
    <w:p w14:paraId="2D5143A5" w14:textId="49D3674D" w:rsidR="002417C0" w:rsidRDefault="004A56F4" w:rsidP="0014014B">
      <w:pPr>
        <w:ind w:firstLine="284"/>
        <w:jc w:val="both"/>
        <w:rPr>
          <w:rFonts w:cs="Times New Roman"/>
          <w:sz w:val="20"/>
          <w:szCs w:val="20"/>
        </w:rPr>
      </w:pPr>
      <w:r>
        <w:rPr>
          <w:sz w:val="20"/>
          <w:szCs w:val="20"/>
        </w:rPr>
        <w:t xml:space="preserve">To run </w:t>
      </w:r>
      <w:r w:rsidR="002B44B0">
        <w:rPr>
          <w:sz w:val="20"/>
          <w:szCs w:val="20"/>
        </w:rPr>
        <w:t>our deep learning algorithms, which generally prefer to see data of the same duration, the data for each bank w</w:t>
      </w:r>
      <w:r w:rsidR="006826A6">
        <w:rPr>
          <w:sz w:val="20"/>
          <w:szCs w:val="20"/>
        </w:rPr>
        <w:t>ere</w:t>
      </w:r>
      <w:r w:rsidR="002B44B0">
        <w:rPr>
          <w:sz w:val="20"/>
          <w:szCs w:val="20"/>
        </w:rPr>
        <w:t xml:space="preserve"> </w:t>
      </w:r>
      <w:r>
        <w:rPr>
          <w:sz w:val="20"/>
          <w:szCs w:val="20"/>
        </w:rPr>
        <w:t>cropped to span equal lengths of time</w:t>
      </w:r>
      <w:r w:rsidR="002B44B0">
        <w:rPr>
          <w:sz w:val="20"/>
          <w:szCs w:val="20"/>
        </w:rPr>
        <w:t xml:space="preserve">. For the failed banks, </w:t>
      </w:r>
      <w:r>
        <w:rPr>
          <w:sz w:val="20"/>
          <w:szCs w:val="20"/>
        </w:rPr>
        <w:t>crop</w:t>
      </w:r>
      <w:r w:rsidR="002B44B0">
        <w:rPr>
          <w:sz w:val="20"/>
          <w:szCs w:val="20"/>
        </w:rPr>
        <w:t xml:space="preserve">ping </w:t>
      </w:r>
      <w:r>
        <w:rPr>
          <w:sz w:val="20"/>
          <w:szCs w:val="20"/>
        </w:rPr>
        <w:t xml:space="preserve">was </w:t>
      </w:r>
      <w:r w:rsidR="002B44B0">
        <w:rPr>
          <w:sz w:val="20"/>
          <w:szCs w:val="20"/>
        </w:rPr>
        <w:t xml:space="preserve">done at </w:t>
      </w:r>
      <w:r w:rsidR="0013097F">
        <w:rPr>
          <w:sz w:val="20"/>
          <w:szCs w:val="20"/>
        </w:rPr>
        <w:t>the</w:t>
      </w:r>
      <w:r w:rsidR="002B44B0">
        <w:rPr>
          <w:sz w:val="20"/>
          <w:szCs w:val="20"/>
        </w:rPr>
        <w:t xml:space="preserve"> end of </w:t>
      </w:r>
      <w:r>
        <w:rPr>
          <w:sz w:val="20"/>
          <w:szCs w:val="20"/>
        </w:rPr>
        <w:t xml:space="preserve">the last quarter for which the bank reported data. For successful banks, the starting dates were </w:t>
      </w:r>
      <w:r w:rsidRPr="007073F8">
        <w:rPr>
          <w:sz w:val="20"/>
          <w:szCs w:val="20"/>
        </w:rPr>
        <w:t>selected at random</w:t>
      </w:r>
      <w:r w:rsidR="00A23FDC">
        <w:rPr>
          <w:rFonts w:cs="Times New Roman"/>
          <w:sz w:val="20"/>
          <w:szCs w:val="20"/>
        </w:rPr>
        <w:t>. Sliding frames of b</w:t>
      </w:r>
      <w:r w:rsidRPr="007073F8">
        <w:rPr>
          <w:rFonts w:cs="Times New Roman"/>
          <w:sz w:val="20"/>
          <w:szCs w:val="20"/>
        </w:rPr>
        <w:t xml:space="preserve">ank </w:t>
      </w:r>
      <w:r w:rsidR="00A23FDC">
        <w:rPr>
          <w:rFonts w:cs="Times New Roman"/>
          <w:sz w:val="20"/>
          <w:szCs w:val="20"/>
        </w:rPr>
        <w:t xml:space="preserve">data </w:t>
      </w:r>
      <w:r w:rsidRPr="007073F8">
        <w:rPr>
          <w:rFonts w:cs="Times New Roman"/>
          <w:sz w:val="20"/>
          <w:szCs w:val="20"/>
        </w:rPr>
        <w:t>were designed to span 20 consecutive quarters</w:t>
      </w:r>
      <w:r w:rsidR="007073F8" w:rsidRPr="007073F8">
        <w:rPr>
          <w:rFonts w:cs="Times New Roman"/>
          <w:sz w:val="20"/>
          <w:szCs w:val="20"/>
        </w:rPr>
        <w:t>.</w:t>
      </w:r>
      <w:r w:rsidR="0050461F">
        <w:rPr>
          <w:rFonts w:cs="Times New Roman"/>
          <w:sz w:val="20"/>
          <w:szCs w:val="20"/>
        </w:rPr>
        <w:t xml:space="preserve"> This duration was </w:t>
      </w:r>
      <w:r w:rsidR="00A23FDC">
        <w:rPr>
          <w:rFonts w:cs="Times New Roman"/>
          <w:sz w:val="20"/>
          <w:szCs w:val="20"/>
        </w:rPr>
        <w:t xml:space="preserve">optimized by series of informal experiments using closed-loop training and evaluation. </w:t>
      </w:r>
    </w:p>
    <w:p w14:paraId="219CCD56" w14:textId="75697171" w:rsidR="0014014B" w:rsidRPr="0014014B" w:rsidRDefault="00222B78" w:rsidP="0014014B">
      <w:pPr>
        <w:pStyle w:val="ListParagraph"/>
        <w:numPr>
          <w:ilvl w:val="0"/>
          <w:numId w:val="11"/>
        </w:numPr>
        <w:spacing w:before="240" w:after="240"/>
        <w:ind w:left="360"/>
        <w:contextualSpacing w:val="0"/>
        <w:rPr>
          <w:b/>
        </w:rPr>
      </w:pPr>
      <w:r>
        <w:rPr>
          <w:b/>
        </w:rPr>
        <w:t>Approach</w:t>
      </w:r>
    </w:p>
    <w:p w14:paraId="5C7DFCE0" w14:textId="4A674AD8" w:rsidR="004A56F4" w:rsidRPr="007020AC" w:rsidRDefault="00A23FDC" w:rsidP="007020AC">
      <w:pPr>
        <w:ind w:firstLine="360"/>
        <w:jc w:val="both"/>
        <w:rPr>
          <w:sz w:val="20"/>
          <w:szCs w:val="20"/>
        </w:rPr>
      </w:pPr>
      <w:r>
        <w:rPr>
          <w:sz w:val="20"/>
          <w:szCs w:val="20"/>
        </w:rPr>
        <w:t xml:space="preserve">For this </w:t>
      </w:r>
      <w:r w:rsidR="00A828B2" w:rsidRPr="00A828B2">
        <w:rPr>
          <w:sz w:val="20"/>
          <w:szCs w:val="20"/>
        </w:rPr>
        <w:t xml:space="preserve">study </w:t>
      </w:r>
      <w:r>
        <w:rPr>
          <w:sz w:val="20"/>
          <w:szCs w:val="20"/>
        </w:rPr>
        <w:t>we leveraged a deep learning architecture that we have been developing for a variety of applications including speech processing, EEG analysis</w:t>
      </w:r>
      <w:r w:rsidR="009F6C36">
        <w:rPr>
          <w:sz w:val="20"/>
          <w:szCs w:val="20"/>
        </w:rPr>
        <w:t>,</w:t>
      </w:r>
      <w:r>
        <w:rPr>
          <w:sz w:val="20"/>
          <w:szCs w:val="20"/>
        </w:rPr>
        <w:t xml:space="preserve"> and digital pathology </w:t>
      </w:r>
      <w:r w:rsidR="009B5AEE">
        <w:rPr>
          <w:sz w:val="20"/>
          <w:szCs w:val="20"/>
        </w:rPr>
        <w:fldChar w:fldCharType="begin"/>
      </w:r>
      <w:r w:rsidR="009B5AEE">
        <w:rPr>
          <w:sz w:val="20"/>
          <w:szCs w:val="20"/>
        </w:rPr>
        <w:instrText xml:space="preserve"> REF _Ref513798495 \r </w:instrText>
      </w:r>
      <w:r w:rsidR="009B5AEE">
        <w:rPr>
          <w:sz w:val="20"/>
          <w:szCs w:val="20"/>
        </w:rPr>
        <w:fldChar w:fldCharType="separate"/>
      </w:r>
      <w:r w:rsidR="00BB7995">
        <w:rPr>
          <w:sz w:val="20"/>
          <w:szCs w:val="20"/>
        </w:rPr>
        <w:t>[9]</w:t>
      </w:r>
      <w:r w:rsidR="009B5AEE">
        <w:rPr>
          <w:sz w:val="20"/>
          <w:szCs w:val="20"/>
        </w:rPr>
        <w:fldChar w:fldCharType="end"/>
      </w:r>
      <w:r>
        <w:rPr>
          <w:sz w:val="20"/>
          <w:szCs w:val="20"/>
        </w:rPr>
        <w:fldChar w:fldCharType="begin"/>
      </w:r>
      <w:r>
        <w:rPr>
          <w:sz w:val="20"/>
          <w:szCs w:val="20"/>
        </w:rPr>
        <w:instrText xml:space="preserve"> REF _Ref513117620 \r </w:instrText>
      </w:r>
      <w:r>
        <w:rPr>
          <w:sz w:val="20"/>
          <w:szCs w:val="20"/>
        </w:rPr>
        <w:fldChar w:fldCharType="separate"/>
      </w:r>
      <w:r w:rsidR="00BB7995">
        <w:rPr>
          <w:sz w:val="20"/>
          <w:szCs w:val="20"/>
        </w:rPr>
        <w:t>[16]</w:t>
      </w:r>
      <w:r>
        <w:rPr>
          <w:sz w:val="20"/>
          <w:szCs w:val="20"/>
        </w:rPr>
        <w:fldChar w:fldCharType="end"/>
      </w:r>
      <w:r>
        <w:rPr>
          <w:sz w:val="20"/>
          <w:szCs w:val="20"/>
        </w:rPr>
        <w:fldChar w:fldCharType="begin"/>
      </w:r>
      <w:r>
        <w:rPr>
          <w:sz w:val="20"/>
          <w:szCs w:val="20"/>
        </w:rPr>
        <w:instrText xml:space="preserve"> REF _Ref513117652 \r </w:instrText>
      </w:r>
      <w:r>
        <w:rPr>
          <w:sz w:val="20"/>
          <w:szCs w:val="20"/>
        </w:rPr>
        <w:fldChar w:fldCharType="separate"/>
      </w:r>
      <w:r w:rsidR="00BB7995">
        <w:rPr>
          <w:sz w:val="20"/>
          <w:szCs w:val="20"/>
        </w:rPr>
        <w:t>[17]</w:t>
      </w:r>
      <w:r>
        <w:rPr>
          <w:sz w:val="20"/>
          <w:szCs w:val="20"/>
        </w:rPr>
        <w:fldChar w:fldCharType="end"/>
      </w:r>
      <w:r>
        <w:rPr>
          <w:sz w:val="20"/>
          <w:szCs w:val="20"/>
        </w:rPr>
        <w:t xml:space="preserve">. The front end of these systems </w:t>
      </w:r>
      <w:r w:rsidR="00F1421F">
        <w:rPr>
          <w:sz w:val="20"/>
          <w:szCs w:val="20"/>
        </w:rPr>
        <w:t>uses</w:t>
      </w:r>
      <w:r>
        <w:rPr>
          <w:sz w:val="20"/>
          <w:szCs w:val="20"/>
        </w:rPr>
        <w:t xml:space="preserve"> a recursive structure based on </w:t>
      </w:r>
      <w:r w:rsidR="00A828B2" w:rsidRPr="00A828B2">
        <w:rPr>
          <w:sz w:val="20"/>
          <w:szCs w:val="20"/>
        </w:rPr>
        <w:t>CNN</w:t>
      </w:r>
      <w:r>
        <w:rPr>
          <w:sz w:val="20"/>
          <w:szCs w:val="20"/>
        </w:rPr>
        <w:t xml:space="preserve"> and Long Short-Term Memory (LSTM) networks. S</w:t>
      </w:r>
      <w:r w:rsidR="00A828B2" w:rsidRPr="00A828B2">
        <w:rPr>
          <w:sz w:val="20"/>
          <w:szCs w:val="20"/>
        </w:rPr>
        <w:t xml:space="preserve">ince </w:t>
      </w:r>
      <w:r>
        <w:rPr>
          <w:sz w:val="20"/>
          <w:szCs w:val="20"/>
        </w:rPr>
        <w:t xml:space="preserve">the </w:t>
      </w:r>
      <w:r w:rsidR="00A828B2" w:rsidRPr="00A828B2">
        <w:rPr>
          <w:sz w:val="20"/>
          <w:szCs w:val="20"/>
        </w:rPr>
        <w:t xml:space="preserve">CNN </w:t>
      </w:r>
      <w:r>
        <w:rPr>
          <w:sz w:val="20"/>
          <w:szCs w:val="20"/>
        </w:rPr>
        <w:t xml:space="preserve">approach, which captures temporal and spatial correlations, was pioneered for image processing applications, </w:t>
      </w:r>
      <w:r w:rsidR="00A828B2" w:rsidRPr="00A828B2">
        <w:rPr>
          <w:sz w:val="20"/>
          <w:szCs w:val="20"/>
        </w:rPr>
        <w:t>the time series for each bank will be referred to as its “bank image</w:t>
      </w:r>
      <w:r w:rsidR="00A31522">
        <w:rPr>
          <w:sz w:val="20"/>
          <w:szCs w:val="20"/>
        </w:rPr>
        <w:t>,</w:t>
      </w:r>
      <w:r w:rsidR="00A828B2" w:rsidRPr="00A828B2">
        <w:rPr>
          <w:sz w:val="20"/>
          <w:szCs w:val="20"/>
        </w:rPr>
        <w:t>”</w:t>
      </w:r>
      <w:r>
        <w:rPr>
          <w:sz w:val="20"/>
          <w:szCs w:val="20"/>
        </w:rPr>
        <w:t xml:space="preserve"> since </w:t>
      </w:r>
      <w:r w:rsidR="00ED058B">
        <w:rPr>
          <w:sz w:val="20"/>
          <w:szCs w:val="20"/>
        </w:rPr>
        <w:t>each</w:t>
      </w:r>
      <w:r>
        <w:rPr>
          <w:sz w:val="20"/>
          <w:szCs w:val="20"/>
        </w:rPr>
        <w:t xml:space="preserve"> is a multichannel time series. T</w:t>
      </w:r>
      <w:r w:rsidR="00A828B2" w:rsidRPr="00A828B2">
        <w:rPr>
          <w:sz w:val="20"/>
          <w:szCs w:val="20"/>
        </w:rPr>
        <w:t xml:space="preserve">he technique </w:t>
      </w:r>
      <w:r>
        <w:rPr>
          <w:sz w:val="20"/>
          <w:szCs w:val="20"/>
        </w:rPr>
        <w:t xml:space="preserve">has been successful </w:t>
      </w:r>
      <w:r w:rsidR="00A828B2" w:rsidRPr="00A828B2">
        <w:rPr>
          <w:sz w:val="20"/>
          <w:szCs w:val="20"/>
        </w:rPr>
        <w:t xml:space="preserve">in </w:t>
      </w:r>
      <w:r>
        <w:rPr>
          <w:sz w:val="20"/>
          <w:szCs w:val="20"/>
        </w:rPr>
        <w:t xml:space="preserve">the </w:t>
      </w:r>
      <w:r w:rsidR="00A828B2" w:rsidRPr="00A828B2">
        <w:rPr>
          <w:sz w:val="20"/>
          <w:szCs w:val="20"/>
        </w:rPr>
        <w:t>assessment of multi</w:t>
      </w:r>
      <w:r w:rsidR="00F1421F">
        <w:rPr>
          <w:sz w:val="20"/>
          <w:szCs w:val="20"/>
        </w:rPr>
        <w:t xml:space="preserve">channel </w:t>
      </w:r>
      <w:r w:rsidR="00A828B2" w:rsidRPr="00A828B2">
        <w:rPr>
          <w:sz w:val="20"/>
          <w:szCs w:val="20"/>
        </w:rPr>
        <w:t>time series</w:t>
      </w:r>
      <w:r w:rsidR="00F1421F">
        <w:rPr>
          <w:sz w:val="20"/>
          <w:szCs w:val="20"/>
        </w:rPr>
        <w:t xml:space="preserve"> and produces results superior to more traditional techniques such as k-nearest neighbors and random forests </w:t>
      </w:r>
      <w:r w:rsidR="0087250C">
        <w:rPr>
          <w:sz w:val="20"/>
          <w:szCs w:val="20"/>
        </w:rPr>
        <w:fldChar w:fldCharType="begin"/>
      </w:r>
      <w:r w:rsidR="0087250C">
        <w:rPr>
          <w:sz w:val="20"/>
          <w:szCs w:val="20"/>
        </w:rPr>
        <w:instrText xml:space="preserve"> REF _Ref513798495 \r </w:instrText>
      </w:r>
      <w:r w:rsidR="0087250C">
        <w:rPr>
          <w:sz w:val="20"/>
          <w:szCs w:val="20"/>
        </w:rPr>
        <w:fldChar w:fldCharType="separate"/>
      </w:r>
      <w:r w:rsidR="00BB7995">
        <w:rPr>
          <w:sz w:val="20"/>
          <w:szCs w:val="20"/>
        </w:rPr>
        <w:t>[9]</w:t>
      </w:r>
      <w:r w:rsidR="0087250C">
        <w:rPr>
          <w:sz w:val="20"/>
          <w:szCs w:val="20"/>
        </w:rPr>
        <w:fldChar w:fldCharType="end"/>
      </w:r>
      <w:r w:rsidR="0087250C">
        <w:rPr>
          <w:sz w:val="20"/>
          <w:szCs w:val="20"/>
        </w:rPr>
        <w:fldChar w:fldCharType="begin"/>
      </w:r>
      <w:r w:rsidR="0087250C">
        <w:rPr>
          <w:sz w:val="20"/>
          <w:szCs w:val="20"/>
        </w:rPr>
        <w:instrText xml:space="preserve"> REF _Ref512209079 \r </w:instrText>
      </w:r>
      <w:r w:rsidR="0087250C">
        <w:rPr>
          <w:sz w:val="20"/>
          <w:szCs w:val="20"/>
        </w:rPr>
        <w:fldChar w:fldCharType="separate"/>
      </w:r>
      <w:r w:rsidR="00BB7995">
        <w:rPr>
          <w:sz w:val="20"/>
          <w:szCs w:val="20"/>
        </w:rPr>
        <w:t>[10]</w:t>
      </w:r>
      <w:r w:rsidR="0087250C">
        <w:rPr>
          <w:sz w:val="20"/>
          <w:szCs w:val="20"/>
        </w:rPr>
        <w:fldChar w:fldCharType="end"/>
      </w:r>
      <w:r w:rsidR="0087250C">
        <w:rPr>
          <w:sz w:val="20"/>
          <w:szCs w:val="20"/>
        </w:rPr>
        <w:t>.</w:t>
      </w:r>
    </w:p>
    <w:p w14:paraId="1FDAF143" w14:textId="4D20FACB" w:rsidR="00F1421F" w:rsidRDefault="004A56F4" w:rsidP="00EB710F">
      <w:pPr>
        <w:ind w:firstLine="360"/>
        <w:jc w:val="both"/>
        <w:rPr>
          <w:sz w:val="20"/>
          <w:szCs w:val="20"/>
        </w:rPr>
      </w:pPr>
      <w:r>
        <w:rPr>
          <w:sz w:val="20"/>
          <w:szCs w:val="20"/>
        </w:rPr>
        <w:t>Baseline performance was evaluated using a fully-connected artificial neural network with one hidden layer with 512 nodes, 50% dropout, and “ReLU” activation</w:t>
      </w:r>
      <w:r w:rsidR="00AF2CF0">
        <w:rPr>
          <w:sz w:val="20"/>
          <w:szCs w:val="20"/>
        </w:rPr>
        <w:t xml:space="preserve"> (ReLU(x)</w:t>
      </w:r>
      <w:r w:rsidR="00D72531">
        <w:rPr>
          <w:sz w:val="20"/>
          <w:szCs w:val="20"/>
        </w:rPr>
        <w:t xml:space="preserve"> </w:t>
      </w:r>
      <w:r w:rsidR="00AF2CF0">
        <w:rPr>
          <w:sz w:val="20"/>
          <w:szCs w:val="20"/>
        </w:rPr>
        <w:t>=</w:t>
      </w:r>
      <w:r w:rsidR="00D72531">
        <w:rPr>
          <w:sz w:val="20"/>
          <w:szCs w:val="20"/>
        </w:rPr>
        <w:t xml:space="preserve"> </w:t>
      </w:r>
      <w:r w:rsidR="00AF2CF0">
        <w:rPr>
          <w:sz w:val="20"/>
          <w:szCs w:val="20"/>
        </w:rPr>
        <w:t>max{0,x})</w:t>
      </w:r>
      <w:r>
        <w:rPr>
          <w:sz w:val="20"/>
          <w:szCs w:val="20"/>
        </w:rPr>
        <w:t xml:space="preserve">. </w:t>
      </w:r>
      <w:r w:rsidR="00F1421F">
        <w:rPr>
          <w:sz w:val="20"/>
          <w:szCs w:val="20"/>
        </w:rPr>
        <w:t>The b</w:t>
      </w:r>
      <w:r>
        <w:rPr>
          <w:sz w:val="20"/>
          <w:szCs w:val="20"/>
        </w:rPr>
        <w:t>atch size was 32,</w:t>
      </w:r>
      <w:r w:rsidR="00F1421F">
        <w:rPr>
          <w:sz w:val="20"/>
          <w:szCs w:val="20"/>
        </w:rPr>
        <w:t xml:space="preserve"> </w:t>
      </w:r>
      <w:r>
        <w:rPr>
          <w:sz w:val="20"/>
          <w:szCs w:val="20"/>
        </w:rPr>
        <w:t xml:space="preserve">and 10 training </w:t>
      </w:r>
      <w:r w:rsidR="00F1421F">
        <w:rPr>
          <w:sz w:val="20"/>
          <w:szCs w:val="20"/>
        </w:rPr>
        <w:t>epochs</w:t>
      </w:r>
      <w:r>
        <w:rPr>
          <w:sz w:val="20"/>
          <w:szCs w:val="20"/>
        </w:rPr>
        <w:t xml:space="preserve"> were used. </w:t>
      </w:r>
      <w:r w:rsidR="00F1421F">
        <w:rPr>
          <w:sz w:val="20"/>
          <w:szCs w:val="20"/>
        </w:rPr>
        <w:t>The training data</w:t>
      </w:r>
      <w:r w:rsidR="003372EA">
        <w:rPr>
          <w:sz w:val="20"/>
          <w:szCs w:val="20"/>
        </w:rPr>
        <w:t xml:space="preserve"> set</w:t>
      </w:r>
      <w:r w:rsidR="00F1421F">
        <w:rPr>
          <w:sz w:val="20"/>
          <w:szCs w:val="20"/>
        </w:rPr>
        <w:t xml:space="preserve"> consisted of </w:t>
      </w:r>
      <w:r>
        <w:rPr>
          <w:sz w:val="20"/>
          <w:szCs w:val="20"/>
        </w:rPr>
        <w:t xml:space="preserve">20x60 bank images. This approach was stepped up to </w:t>
      </w:r>
      <w:r w:rsidR="00F1421F">
        <w:rPr>
          <w:sz w:val="20"/>
          <w:szCs w:val="20"/>
        </w:rPr>
        <w:t>a 20-layer</w:t>
      </w:r>
      <w:r w:rsidR="00F1421F" w:rsidRPr="00F1421F">
        <w:rPr>
          <w:sz w:val="20"/>
          <w:szCs w:val="20"/>
        </w:rPr>
        <w:t xml:space="preserve"> </w:t>
      </w:r>
      <w:r w:rsidR="00F1421F">
        <w:rPr>
          <w:sz w:val="20"/>
          <w:szCs w:val="20"/>
        </w:rPr>
        <w:t xml:space="preserve">multilayer perceptron neural network (using steps of </w:t>
      </w:r>
      <w:r>
        <w:rPr>
          <w:sz w:val="20"/>
          <w:szCs w:val="20"/>
        </w:rPr>
        <w:t>2, 3, 4, 5, 6, 7, 8, 9, 10, 15, 20)</w:t>
      </w:r>
      <w:r w:rsidR="00F1421F">
        <w:rPr>
          <w:sz w:val="20"/>
          <w:szCs w:val="20"/>
        </w:rPr>
        <w:t>.</w:t>
      </w:r>
    </w:p>
    <w:p w14:paraId="03FBD3F8" w14:textId="57FF7A6D" w:rsidR="004A56F4" w:rsidRDefault="00DC21A2" w:rsidP="00EB710F">
      <w:pPr>
        <w:ind w:firstLine="360"/>
        <w:jc w:val="both"/>
        <w:rPr>
          <w:sz w:val="20"/>
          <w:szCs w:val="20"/>
        </w:rPr>
      </w:pPr>
      <w:r>
        <w:rPr>
          <w:sz w:val="20"/>
          <w:szCs w:val="20"/>
        </w:rPr>
        <w:lastRenderedPageBreak/>
        <w:t xml:space="preserve">A </w:t>
      </w:r>
      <w:r w:rsidR="00F1421F">
        <w:rPr>
          <w:sz w:val="20"/>
          <w:szCs w:val="20"/>
        </w:rPr>
        <w:t xml:space="preserve">CNN </w:t>
      </w:r>
      <w:r w:rsidR="004A56F4">
        <w:rPr>
          <w:sz w:val="20"/>
          <w:szCs w:val="20"/>
        </w:rPr>
        <w:t>w</w:t>
      </w:r>
      <w:r>
        <w:rPr>
          <w:sz w:val="20"/>
          <w:szCs w:val="20"/>
        </w:rPr>
        <w:t>as</w:t>
      </w:r>
      <w:r w:rsidR="004A56F4">
        <w:rPr>
          <w:sz w:val="20"/>
          <w:szCs w:val="20"/>
        </w:rPr>
        <w:t xml:space="preserve"> implemented</w:t>
      </w:r>
      <w:r w:rsidR="00F1421F">
        <w:rPr>
          <w:sz w:val="20"/>
          <w:szCs w:val="20"/>
        </w:rPr>
        <w:t xml:space="preserve"> </w:t>
      </w:r>
      <w:r w:rsidR="004A56F4">
        <w:rPr>
          <w:sz w:val="20"/>
          <w:szCs w:val="20"/>
        </w:rPr>
        <w:t xml:space="preserve">to inspect the data for correlations. </w:t>
      </w:r>
      <w:r w:rsidR="005606E5">
        <w:rPr>
          <w:sz w:val="20"/>
          <w:szCs w:val="20"/>
        </w:rPr>
        <w:t xml:space="preserve">Filtering </w:t>
      </w:r>
      <w:r>
        <w:rPr>
          <w:sz w:val="20"/>
          <w:szCs w:val="20"/>
        </w:rPr>
        <w:t xml:space="preserve">layers </w:t>
      </w:r>
      <w:r w:rsidR="005606E5">
        <w:rPr>
          <w:sz w:val="20"/>
          <w:szCs w:val="20"/>
        </w:rPr>
        <w:t>used</w:t>
      </w:r>
      <w:r w:rsidR="004A56F4">
        <w:rPr>
          <w:sz w:val="20"/>
          <w:szCs w:val="20"/>
        </w:rPr>
        <w:t xml:space="preserve"> 3x3 filters</w:t>
      </w:r>
      <w:r>
        <w:rPr>
          <w:sz w:val="20"/>
          <w:szCs w:val="20"/>
        </w:rPr>
        <w:t xml:space="preserve">. </w:t>
      </w:r>
      <w:r w:rsidR="00B41EDF">
        <w:rPr>
          <w:sz w:val="20"/>
          <w:szCs w:val="20"/>
        </w:rPr>
        <w:t xml:space="preserve">Three rounds of 3x3 </w:t>
      </w:r>
      <w:r w:rsidR="00B41EDF" w:rsidRPr="00C550AF">
        <w:rPr>
          <w:rFonts w:cs="Times New Roman"/>
          <w:sz w:val="20"/>
          <w:szCs w:val="20"/>
        </w:rPr>
        <w:t>filtering were performed, each followed by 2x2 maxpooling</w:t>
      </w:r>
      <w:r>
        <w:rPr>
          <w:rFonts w:cs="Times New Roman"/>
          <w:sz w:val="20"/>
          <w:szCs w:val="20"/>
        </w:rPr>
        <w:t xml:space="preserve">, </w:t>
      </w:r>
      <w:r>
        <w:rPr>
          <w:sz w:val="20"/>
          <w:szCs w:val="20"/>
        </w:rPr>
        <w:t>following EEG work by Shah</w:t>
      </w:r>
      <w:r w:rsidR="00F1421F">
        <w:rPr>
          <w:sz w:val="20"/>
          <w:szCs w:val="20"/>
        </w:rPr>
        <w:t xml:space="preserve"> et al. </w:t>
      </w:r>
      <w:r w:rsidR="00F1421F">
        <w:rPr>
          <w:sz w:val="20"/>
          <w:szCs w:val="20"/>
        </w:rPr>
        <w:fldChar w:fldCharType="begin"/>
      </w:r>
      <w:r w:rsidR="00F1421F">
        <w:rPr>
          <w:sz w:val="20"/>
          <w:szCs w:val="20"/>
        </w:rPr>
        <w:instrText xml:space="preserve"> REF _Ref513117620 \r </w:instrText>
      </w:r>
      <w:r w:rsidR="00F1421F">
        <w:rPr>
          <w:sz w:val="20"/>
          <w:szCs w:val="20"/>
        </w:rPr>
        <w:fldChar w:fldCharType="separate"/>
      </w:r>
      <w:r w:rsidR="00BB7995">
        <w:rPr>
          <w:sz w:val="20"/>
          <w:szCs w:val="20"/>
        </w:rPr>
        <w:t>[16]</w:t>
      </w:r>
      <w:r w:rsidR="00F1421F">
        <w:rPr>
          <w:sz w:val="20"/>
          <w:szCs w:val="20"/>
        </w:rPr>
        <w:fldChar w:fldCharType="end"/>
      </w:r>
      <w:r>
        <w:rPr>
          <w:sz w:val="20"/>
          <w:szCs w:val="20"/>
        </w:rPr>
        <w:t xml:space="preserve"> and Golmohammadi</w:t>
      </w:r>
      <w:r w:rsidR="00F1421F">
        <w:rPr>
          <w:sz w:val="20"/>
          <w:szCs w:val="20"/>
        </w:rPr>
        <w:t xml:space="preserve"> et al. </w:t>
      </w:r>
      <w:r w:rsidR="00F1421F">
        <w:rPr>
          <w:sz w:val="20"/>
          <w:szCs w:val="20"/>
        </w:rPr>
        <w:fldChar w:fldCharType="begin"/>
      </w:r>
      <w:r w:rsidR="00F1421F">
        <w:rPr>
          <w:sz w:val="20"/>
          <w:szCs w:val="20"/>
        </w:rPr>
        <w:instrText xml:space="preserve"> REF _Ref513117652 \r  \* MERGEFORMAT </w:instrText>
      </w:r>
      <w:r w:rsidR="00F1421F">
        <w:rPr>
          <w:sz w:val="20"/>
          <w:szCs w:val="20"/>
        </w:rPr>
        <w:fldChar w:fldCharType="separate"/>
      </w:r>
      <w:r w:rsidR="00BB7995">
        <w:rPr>
          <w:sz w:val="20"/>
          <w:szCs w:val="20"/>
        </w:rPr>
        <w:t>[17]</w:t>
      </w:r>
      <w:r w:rsidR="00F1421F">
        <w:rPr>
          <w:sz w:val="20"/>
          <w:szCs w:val="20"/>
        </w:rPr>
        <w:fldChar w:fldCharType="end"/>
      </w:r>
      <w:r w:rsidR="00E05E50">
        <w:rPr>
          <w:sz w:val="20"/>
          <w:szCs w:val="20"/>
        </w:rPr>
        <w:t xml:space="preserve"> </w:t>
      </w:r>
      <w:r>
        <w:rPr>
          <w:sz w:val="20"/>
          <w:szCs w:val="20"/>
        </w:rPr>
        <w:t>and</w:t>
      </w:r>
      <w:r w:rsidR="00B41EDF" w:rsidRPr="00F1421F">
        <w:rPr>
          <w:sz w:val="20"/>
          <w:szCs w:val="20"/>
        </w:rPr>
        <w:t xml:space="preserve"> depicted in</w:t>
      </w:r>
      <w:r w:rsidR="00267ABC">
        <w:rPr>
          <w:sz w:val="20"/>
          <w:szCs w:val="20"/>
        </w:rPr>
        <w:t xml:space="preserve"> </w:t>
      </w:r>
      <w:r w:rsidR="00267ABC" w:rsidRPr="00267ABC">
        <w:rPr>
          <w:rFonts w:cs="Times New Roman"/>
          <w:sz w:val="20"/>
          <w:szCs w:val="20"/>
        </w:rPr>
        <w:fldChar w:fldCharType="begin"/>
      </w:r>
      <w:r w:rsidR="00267ABC" w:rsidRPr="00267ABC">
        <w:rPr>
          <w:rFonts w:cs="Times New Roman"/>
          <w:sz w:val="20"/>
          <w:szCs w:val="20"/>
        </w:rPr>
        <w:instrText xml:space="preserve"> REF _Ref512367025  \* MERGEFORMAT </w:instrText>
      </w:r>
      <w:r w:rsidR="00267ABC" w:rsidRPr="00267ABC">
        <w:rPr>
          <w:rFonts w:cs="Times New Roman"/>
          <w:sz w:val="20"/>
          <w:szCs w:val="20"/>
        </w:rPr>
        <w:fldChar w:fldCharType="separate"/>
      </w:r>
      <w:r w:rsidR="00BB7995" w:rsidRPr="00BB7995">
        <w:rPr>
          <w:rFonts w:cs="Times New Roman"/>
          <w:color w:val="000000" w:themeColor="text1"/>
          <w:sz w:val="20"/>
          <w:szCs w:val="20"/>
        </w:rPr>
        <w:t xml:space="preserve">Figure </w:t>
      </w:r>
      <w:r w:rsidR="00BB7995" w:rsidRPr="00BB7995">
        <w:rPr>
          <w:rFonts w:cs="Times New Roman"/>
          <w:noProof/>
          <w:color w:val="000000" w:themeColor="text1"/>
          <w:sz w:val="20"/>
          <w:szCs w:val="20"/>
        </w:rPr>
        <w:t>2</w:t>
      </w:r>
      <w:r w:rsidR="00267ABC" w:rsidRPr="00267ABC">
        <w:rPr>
          <w:rFonts w:cs="Times New Roman"/>
          <w:sz w:val="20"/>
          <w:szCs w:val="20"/>
        </w:rPr>
        <w:fldChar w:fldCharType="end"/>
      </w:r>
      <w:r w:rsidR="00F1421F" w:rsidRPr="00267ABC">
        <w:rPr>
          <w:rFonts w:cs="Times New Roman"/>
          <w:sz w:val="20"/>
          <w:szCs w:val="20"/>
        </w:rPr>
        <w:t>.</w:t>
      </w:r>
      <w:r w:rsidR="00F1421F" w:rsidRPr="00F1421F">
        <w:rPr>
          <w:sz w:val="20"/>
          <w:szCs w:val="20"/>
        </w:rPr>
        <w:t xml:space="preserve"> </w:t>
      </w:r>
      <w:r w:rsidR="004A56F4" w:rsidRPr="00F1421F">
        <w:rPr>
          <w:sz w:val="20"/>
          <w:szCs w:val="20"/>
        </w:rPr>
        <w:t xml:space="preserve">Finally, a fully-connected layer </w:t>
      </w:r>
      <w:r w:rsidR="00F1421F">
        <w:rPr>
          <w:sz w:val="20"/>
          <w:szCs w:val="20"/>
        </w:rPr>
        <w:t xml:space="preserve">of </w:t>
      </w:r>
      <w:r w:rsidR="004A56F4" w:rsidRPr="00F1421F">
        <w:rPr>
          <w:sz w:val="20"/>
          <w:szCs w:val="20"/>
        </w:rPr>
        <w:t>512 nodes was used after</w:t>
      </w:r>
      <w:r w:rsidR="004A56F4" w:rsidRPr="00C550AF">
        <w:rPr>
          <w:rFonts w:cs="Times New Roman"/>
          <w:sz w:val="20"/>
          <w:szCs w:val="20"/>
        </w:rPr>
        <w:t xml:space="preserve"> all CNN steps, and the 512 nodes mapped to the outcomes of a successful or failed bank.</w:t>
      </w:r>
      <w:r w:rsidR="005606E5">
        <w:rPr>
          <w:rFonts w:cs="Times New Roman"/>
          <w:sz w:val="20"/>
          <w:szCs w:val="20"/>
        </w:rPr>
        <w:t xml:space="preserve"> </w:t>
      </w:r>
      <w:r w:rsidR="00F1421F">
        <w:rPr>
          <w:rFonts w:cs="Times New Roman"/>
          <w:sz w:val="20"/>
          <w:szCs w:val="20"/>
        </w:rPr>
        <w:t>A d</w:t>
      </w:r>
      <w:r w:rsidR="005606E5">
        <w:rPr>
          <w:rFonts w:cs="Times New Roman"/>
          <w:sz w:val="20"/>
          <w:szCs w:val="20"/>
        </w:rPr>
        <w:t xml:space="preserve">ropout of 25% was </w:t>
      </w:r>
      <w:r w:rsidR="00F1421F">
        <w:rPr>
          <w:rFonts w:cs="Times New Roman"/>
          <w:sz w:val="20"/>
          <w:szCs w:val="20"/>
        </w:rPr>
        <w:t xml:space="preserve">used </w:t>
      </w:r>
      <w:r w:rsidR="005606E5">
        <w:rPr>
          <w:rFonts w:cs="Times New Roman"/>
          <w:sz w:val="20"/>
          <w:szCs w:val="20"/>
        </w:rPr>
        <w:t>after all three maxpooling steps</w:t>
      </w:r>
      <w:r w:rsidR="00F1421F">
        <w:rPr>
          <w:rFonts w:cs="Times New Roman"/>
          <w:sz w:val="20"/>
          <w:szCs w:val="20"/>
        </w:rPr>
        <w:t>.</w:t>
      </w:r>
    </w:p>
    <w:p w14:paraId="59F57913" w14:textId="590A9CBC" w:rsidR="00200EFC" w:rsidRDefault="00A23FDC" w:rsidP="00F1421F">
      <w:pPr>
        <w:ind w:firstLine="360"/>
        <w:jc w:val="both"/>
        <w:rPr>
          <w:sz w:val="20"/>
          <w:szCs w:val="20"/>
        </w:rPr>
      </w:pPr>
      <w:r>
        <w:rPr>
          <w:noProof/>
          <w:sz w:val="20"/>
          <w:szCs w:val="20"/>
        </w:rPr>
        <mc:AlternateContent>
          <mc:Choice Requires="wps">
            <w:drawing>
              <wp:anchor distT="137160" distB="0" distL="0" distR="0" simplePos="0" relativeHeight="251670528" behindDoc="0" locked="0" layoutInCell="1" allowOverlap="1" wp14:anchorId="05D71F11" wp14:editId="010BBBE4">
                <wp:simplePos x="0" y="0"/>
                <wp:positionH relativeFrom="margin">
                  <wp:align>left</wp:align>
                </wp:positionH>
                <wp:positionV relativeFrom="margin">
                  <wp:align>bottom</wp:align>
                </wp:positionV>
                <wp:extent cx="2807208" cy="2176272"/>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07208" cy="2176272"/>
                        </a:xfrm>
                        <a:prstGeom prst="rect">
                          <a:avLst/>
                        </a:prstGeom>
                        <a:solidFill>
                          <a:schemeClr val="lt1"/>
                        </a:solidFill>
                        <a:ln w="6350">
                          <a:noFill/>
                        </a:ln>
                      </wps:spPr>
                      <wps:txbx>
                        <w:txbxContent>
                          <w:p w14:paraId="626E3030" w14:textId="748E6D19" w:rsidR="00B41EDF" w:rsidRDefault="00C9501B" w:rsidP="00B41EDF">
                            <w:pPr>
                              <w:jc w:val="center"/>
                            </w:pPr>
                            <w:r>
                              <w:rPr>
                                <w:noProof/>
                              </w:rPr>
                              <w:drawing>
                                <wp:inline distT="0" distB="0" distL="0" distR="0" wp14:anchorId="44A393A3" wp14:editId="032F5C2E">
                                  <wp:extent cx="2800350" cy="16218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0350" cy="1621817"/>
                                          </a:xfrm>
                                          <a:prstGeom prst="rect">
                                            <a:avLst/>
                                          </a:prstGeom>
                                          <a:noFill/>
                                          <a:ln>
                                            <a:noFill/>
                                          </a:ln>
                                        </pic:spPr>
                                      </pic:pic>
                                    </a:graphicData>
                                  </a:graphic>
                                </wp:inline>
                              </w:drawing>
                            </w:r>
                          </w:p>
                          <w:p w14:paraId="5F0EAC48" w14:textId="5E4FE43C" w:rsidR="00B41EDF" w:rsidRDefault="00C550AF" w:rsidP="00F1421F">
                            <w:pPr>
                              <w:pStyle w:val="Caption"/>
                              <w:spacing w:before="120" w:after="0"/>
                              <w:jc w:val="both"/>
                            </w:pPr>
                            <w:bookmarkStart w:id="4" w:name="_Ref512367025"/>
                            <w:bookmarkStart w:id="5" w:name="_Ref513381803"/>
                            <w:r w:rsidRPr="005B1AC3">
                              <w:rPr>
                                <w:rFonts w:ascii="Arial" w:hAnsi="Arial" w:cs="Arial"/>
                                <w:b/>
                                <w:i w:val="0"/>
                                <w:color w:val="000000" w:themeColor="text1"/>
                                <w:sz w:val="20"/>
                                <w:szCs w:val="20"/>
                              </w:rPr>
                              <w:t>Figure</w:t>
                            </w:r>
                            <w:r>
                              <w:rPr>
                                <w:rFonts w:ascii="Arial" w:hAnsi="Arial" w:cs="Arial"/>
                                <w:b/>
                                <w:i w:val="0"/>
                                <w:color w:val="000000" w:themeColor="text1"/>
                                <w:sz w:val="20"/>
                                <w:szCs w:val="20"/>
                              </w:rPr>
                              <w:t xml:space="preserve"> </w:t>
                            </w:r>
                            <w:r>
                              <w:rPr>
                                <w:rFonts w:ascii="Arial" w:hAnsi="Arial" w:cs="Arial"/>
                                <w:b/>
                                <w:i w:val="0"/>
                                <w:color w:val="000000" w:themeColor="text1"/>
                                <w:sz w:val="20"/>
                                <w:szCs w:val="20"/>
                              </w:rPr>
                              <w:fldChar w:fldCharType="begin"/>
                            </w:r>
                            <w:r>
                              <w:rPr>
                                <w:rFonts w:ascii="Arial" w:hAnsi="Arial" w:cs="Arial"/>
                                <w:b/>
                                <w:i w:val="0"/>
                                <w:color w:val="000000" w:themeColor="text1"/>
                                <w:sz w:val="20"/>
                                <w:szCs w:val="20"/>
                              </w:rPr>
                              <w:instrText xml:space="preserve"> SEQ Figure \* ARABIC </w:instrText>
                            </w:r>
                            <w:r>
                              <w:rPr>
                                <w:rFonts w:ascii="Arial" w:hAnsi="Arial" w:cs="Arial"/>
                                <w:b/>
                                <w:i w:val="0"/>
                                <w:color w:val="000000" w:themeColor="text1"/>
                                <w:sz w:val="20"/>
                                <w:szCs w:val="20"/>
                              </w:rPr>
                              <w:fldChar w:fldCharType="separate"/>
                            </w:r>
                            <w:r w:rsidR="00BB7995">
                              <w:rPr>
                                <w:rFonts w:ascii="Arial" w:hAnsi="Arial" w:cs="Arial"/>
                                <w:b/>
                                <w:i w:val="0"/>
                                <w:noProof/>
                                <w:color w:val="000000" w:themeColor="text1"/>
                                <w:sz w:val="20"/>
                                <w:szCs w:val="20"/>
                              </w:rPr>
                              <w:t>2</w:t>
                            </w:r>
                            <w:r>
                              <w:rPr>
                                <w:rFonts w:ascii="Arial" w:hAnsi="Arial" w:cs="Arial"/>
                                <w:b/>
                                <w:i w:val="0"/>
                                <w:color w:val="000000" w:themeColor="text1"/>
                                <w:sz w:val="20"/>
                                <w:szCs w:val="20"/>
                              </w:rPr>
                              <w:fldChar w:fldCharType="end"/>
                            </w:r>
                            <w:bookmarkEnd w:id="4"/>
                            <w:r>
                              <w:rPr>
                                <w:rFonts w:ascii="Arial" w:hAnsi="Arial" w:cs="Arial"/>
                                <w:b/>
                                <w:i w:val="0"/>
                                <w:color w:val="000000" w:themeColor="text1"/>
                                <w:sz w:val="20"/>
                                <w:szCs w:val="20"/>
                              </w:rPr>
                              <w:t>. Convolutional neural network of three layers of 3x3 filtering</w:t>
                            </w:r>
                            <w:r w:rsidR="003D08A7">
                              <w:rPr>
                                <w:rFonts w:ascii="Arial" w:hAnsi="Arial" w:cs="Arial"/>
                                <w:b/>
                                <w:i w:val="0"/>
                                <w:color w:val="000000" w:themeColor="text1"/>
                                <w:sz w:val="20"/>
                                <w:szCs w:val="20"/>
                              </w:rPr>
                              <w:t>, each</w:t>
                            </w:r>
                            <w:r>
                              <w:rPr>
                                <w:rFonts w:ascii="Arial" w:hAnsi="Arial" w:cs="Arial"/>
                                <w:b/>
                                <w:i w:val="0"/>
                                <w:color w:val="000000" w:themeColor="text1"/>
                                <w:sz w:val="20"/>
                                <w:szCs w:val="20"/>
                              </w:rPr>
                              <w:t xml:space="preserve"> followed by </w:t>
                            </w:r>
                            <w:r w:rsidR="003D08A7">
                              <w:rPr>
                                <w:rFonts w:ascii="Arial" w:hAnsi="Arial" w:cs="Arial"/>
                                <w:b/>
                                <w:i w:val="0"/>
                                <w:color w:val="000000" w:themeColor="text1"/>
                                <w:sz w:val="20"/>
                                <w:szCs w:val="20"/>
                              </w:rPr>
                              <w:t xml:space="preserve">a layer of </w:t>
                            </w:r>
                            <w:r>
                              <w:rPr>
                                <w:rFonts w:ascii="Arial" w:hAnsi="Arial" w:cs="Arial"/>
                                <w:b/>
                                <w:i w:val="0"/>
                                <w:color w:val="000000" w:themeColor="text1"/>
                                <w:sz w:val="20"/>
                                <w:szCs w:val="20"/>
                              </w:rPr>
                              <w:t>2x2 maxpooling</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1F11" id="Text Box 1" o:spid="_x0000_s1028" type="#_x0000_t202" style="position:absolute;left:0;text-align:left;margin-left:0;margin-top:0;width:221.05pt;height:171.35pt;z-index:251670528;visibility:visible;mso-wrap-style:square;mso-width-percent:0;mso-height-percent:0;mso-wrap-distance-left:0;mso-wrap-distance-top:10.8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" fillcolor="white [3201]" stroked="f" strokeweight=".5pt">
                <v:textbox inset="0,0,0,0">
                  <w:txbxContent>
                    <w:p w14:paraId="626E3030" w14:textId="748E6D19" w:rsidR="00B41EDF" w:rsidRDefault="00C9501B" w:rsidP="00B41EDF">
                      <w:pPr>
                        <w:jc w:val="center"/>
                      </w:pPr>
                      <w:r>
                        <w:rPr>
                          <w:noProof/>
                        </w:rPr>
                        <w:drawing>
                          <wp:inline distT="0" distB="0" distL="0" distR="0" wp14:anchorId="44A393A3" wp14:editId="032F5C2E">
                            <wp:extent cx="2800350" cy="16218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1621817"/>
                                    </a:xfrm>
                                    <a:prstGeom prst="rect">
                                      <a:avLst/>
                                    </a:prstGeom>
                                    <a:noFill/>
                                    <a:ln>
                                      <a:noFill/>
                                    </a:ln>
                                  </pic:spPr>
                                </pic:pic>
                              </a:graphicData>
                            </a:graphic>
                          </wp:inline>
                        </w:drawing>
                      </w:r>
                    </w:p>
                    <w:p w14:paraId="5F0EAC48" w14:textId="5E4FE43C" w:rsidR="00B41EDF" w:rsidRDefault="00C550AF" w:rsidP="00F1421F">
                      <w:pPr>
                        <w:pStyle w:val="Caption"/>
                        <w:spacing w:before="120" w:after="0"/>
                        <w:jc w:val="both"/>
                      </w:pPr>
                      <w:bookmarkStart w:id="7" w:name="_Ref512367025"/>
                      <w:bookmarkStart w:id="8" w:name="_Ref513381803"/>
                      <w:r w:rsidRPr="005B1AC3">
                        <w:rPr>
                          <w:rFonts w:ascii="Arial" w:hAnsi="Arial" w:cs="Arial"/>
                          <w:b/>
                          <w:i w:val="0"/>
                          <w:color w:val="000000" w:themeColor="text1"/>
                          <w:sz w:val="20"/>
                          <w:szCs w:val="20"/>
                        </w:rPr>
                        <w:t>Figure</w:t>
                      </w:r>
                      <w:r>
                        <w:rPr>
                          <w:rFonts w:ascii="Arial" w:hAnsi="Arial" w:cs="Arial"/>
                          <w:b/>
                          <w:i w:val="0"/>
                          <w:color w:val="000000" w:themeColor="text1"/>
                          <w:sz w:val="20"/>
                          <w:szCs w:val="20"/>
                        </w:rPr>
                        <w:t xml:space="preserve"> </w:t>
                      </w:r>
                      <w:r>
                        <w:rPr>
                          <w:rFonts w:ascii="Arial" w:hAnsi="Arial" w:cs="Arial"/>
                          <w:b/>
                          <w:i w:val="0"/>
                          <w:color w:val="000000" w:themeColor="text1"/>
                          <w:sz w:val="20"/>
                          <w:szCs w:val="20"/>
                        </w:rPr>
                        <w:fldChar w:fldCharType="begin"/>
                      </w:r>
                      <w:r>
                        <w:rPr>
                          <w:rFonts w:ascii="Arial" w:hAnsi="Arial" w:cs="Arial"/>
                          <w:b/>
                          <w:i w:val="0"/>
                          <w:color w:val="000000" w:themeColor="text1"/>
                          <w:sz w:val="20"/>
                          <w:szCs w:val="20"/>
                        </w:rPr>
                        <w:instrText xml:space="preserve"> SEQ Figure \* ARABIC </w:instrText>
                      </w:r>
                      <w:r>
                        <w:rPr>
                          <w:rFonts w:ascii="Arial" w:hAnsi="Arial" w:cs="Arial"/>
                          <w:b/>
                          <w:i w:val="0"/>
                          <w:color w:val="000000" w:themeColor="text1"/>
                          <w:sz w:val="20"/>
                          <w:szCs w:val="20"/>
                        </w:rPr>
                        <w:fldChar w:fldCharType="separate"/>
                      </w:r>
                      <w:r w:rsidR="00BB7995">
                        <w:rPr>
                          <w:rFonts w:ascii="Arial" w:hAnsi="Arial" w:cs="Arial"/>
                          <w:b/>
                          <w:i w:val="0"/>
                          <w:noProof/>
                          <w:color w:val="000000" w:themeColor="text1"/>
                          <w:sz w:val="20"/>
                          <w:szCs w:val="20"/>
                        </w:rPr>
                        <w:t>2</w:t>
                      </w:r>
                      <w:r>
                        <w:rPr>
                          <w:rFonts w:ascii="Arial" w:hAnsi="Arial" w:cs="Arial"/>
                          <w:b/>
                          <w:i w:val="0"/>
                          <w:color w:val="000000" w:themeColor="text1"/>
                          <w:sz w:val="20"/>
                          <w:szCs w:val="20"/>
                        </w:rPr>
                        <w:fldChar w:fldCharType="end"/>
                      </w:r>
                      <w:bookmarkEnd w:id="7"/>
                      <w:r>
                        <w:rPr>
                          <w:rFonts w:ascii="Arial" w:hAnsi="Arial" w:cs="Arial"/>
                          <w:b/>
                          <w:i w:val="0"/>
                          <w:color w:val="000000" w:themeColor="text1"/>
                          <w:sz w:val="20"/>
                          <w:szCs w:val="20"/>
                        </w:rPr>
                        <w:t>. Convolutional neural network of three layers of 3x3 filtering</w:t>
                      </w:r>
                      <w:r w:rsidR="003D08A7">
                        <w:rPr>
                          <w:rFonts w:ascii="Arial" w:hAnsi="Arial" w:cs="Arial"/>
                          <w:b/>
                          <w:i w:val="0"/>
                          <w:color w:val="000000" w:themeColor="text1"/>
                          <w:sz w:val="20"/>
                          <w:szCs w:val="20"/>
                        </w:rPr>
                        <w:t>, each</w:t>
                      </w:r>
                      <w:r>
                        <w:rPr>
                          <w:rFonts w:ascii="Arial" w:hAnsi="Arial" w:cs="Arial"/>
                          <w:b/>
                          <w:i w:val="0"/>
                          <w:color w:val="000000" w:themeColor="text1"/>
                          <w:sz w:val="20"/>
                          <w:szCs w:val="20"/>
                        </w:rPr>
                        <w:t xml:space="preserve"> followed by </w:t>
                      </w:r>
                      <w:r w:rsidR="003D08A7">
                        <w:rPr>
                          <w:rFonts w:ascii="Arial" w:hAnsi="Arial" w:cs="Arial"/>
                          <w:b/>
                          <w:i w:val="0"/>
                          <w:color w:val="000000" w:themeColor="text1"/>
                          <w:sz w:val="20"/>
                          <w:szCs w:val="20"/>
                        </w:rPr>
                        <w:t xml:space="preserve">a layer of </w:t>
                      </w:r>
                      <w:r>
                        <w:rPr>
                          <w:rFonts w:ascii="Arial" w:hAnsi="Arial" w:cs="Arial"/>
                          <w:b/>
                          <w:i w:val="0"/>
                          <w:color w:val="000000" w:themeColor="text1"/>
                          <w:sz w:val="20"/>
                          <w:szCs w:val="20"/>
                        </w:rPr>
                        <w:t>2x2 maxpooling</w:t>
                      </w:r>
                      <w:bookmarkEnd w:id="8"/>
                    </w:p>
                  </w:txbxContent>
                </v:textbox>
                <w10:wrap type="square" anchorx="margin" anchory="margin"/>
              </v:shape>
            </w:pict>
          </mc:Fallback>
        </mc:AlternateContent>
      </w:r>
      <w:r w:rsidR="004A56F4">
        <w:rPr>
          <w:sz w:val="20"/>
          <w:szCs w:val="20"/>
        </w:rPr>
        <w:t>Marginal time series differences and second</w:t>
      </w:r>
      <w:r w:rsidR="0021472B">
        <w:rPr>
          <w:sz w:val="20"/>
          <w:szCs w:val="20"/>
        </w:rPr>
        <w:t xml:space="preserve">-order </w:t>
      </w:r>
      <w:r w:rsidR="004A56F4">
        <w:rPr>
          <w:sz w:val="20"/>
          <w:szCs w:val="20"/>
        </w:rPr>
        <w:t xml:space="preserve">differences were applied to the bank images, with the differenced data run through the </w:t>
      </w:r>
      <w:r w:rsidR="007020AC">
        <w:rPr>
          <w:sz w:val="20"/>
          <w:szCs w:val="20"/>
        </w:rPr>
        <w:t>3x3-filtering</w:t>
      </w:r>
      <w:r w:rsidR="00D87DB9">
        <w:rPr>
          <w:sz w:val="20"/>
          <w:szCs w:val="20"/>
        </w:rPr>
        <w:t xml:space="preserve"> convolutional</w:t>
      </w:r>
      <w:r w:rsidR="007020AC">
        <w:rPr>
          <w:sz w:val="20"/>
          <w:szCs w:val="20"/>
        </w:rPr>
        <w:t xml:space="preserve"> and fully-connected </w:t>
      </w:r>
      <w:r w:rsidR="00DC21A2">
        <w:rPr>
          <w:sz w:val="20"/>
          <w:szCs w:val="20"/>
        </w:rPr>
        <w:t xml:space="preserve">neural </w:t>
      </w:r>
      <w:r w:rsidR="007020AC">
        <w:rPr>
          <w:sz w:val="20"/>
          <w:szCs w:val="20"/>
        </w:rPr>
        <w:t>networks.</w:t>
      </w:r>
      <w:r w:rsidR="00F1421F">
        <w:rPr>
          <w:sz w:val="20"/>
          <w:szCs w:val="20"/>
        </w:rPr>
        <w:t xml:space="preserve"> </w:t>
      </w:r>
      <w:r w:rsidR="00200EFC">
        <w:rPr>
          <w:sz w:val="20"/>
          <w:szCs w:val="20"/>
        </w:rPr>
        <w:t>Throughout all experiments, a binary cross</w:t>
      </w:r>
      <w:r w:rsidR="001713AE">
        <w:rPr>
          <w:sz w:val="20"/>
          <w:szCs w:val="20"/>
        </w:rPr>
        <w:t>-</w:t>
      </w:r>
      <w:r w:rsidR="00200EFC">
        <w:rPr>
          <w:sz w:val="20"/>
          <w:szCs w:val="20"/>
        </w:rPr>
        <w:t>entropy loss function was used along with the Adam optimizer</w:t>
      </w:r>
      <w:r w:rsidR="00F1421F">
        <w:rPr>
          <w:sz w:val="20"/>
          <w:szCs w:val="20"/>
        </w:rPr>
        <w:t>.</w:t>
      </w:r>
      <w:r w:rsidR="00BC7A37">
        <w:rPr>
          <w:sz w:val="20"/>
          <w:szCs w:val="20"/>
        </w:rPr>
        <w:t xml:space="preserve"> </w:t>
      </w:r>
    </w:p>
    <w:p w14:paraId="3932B109" w14:textId="3484B062" w:rsidR="0014014B" w:rsidRPr="0014014B" w:rsidRDefault="004A56F4" w:rsidP="0014014B">
      <w:pPr>
        <w:pStyle w:val="ListParagraph"/>
        <w:numPr>
          <w:ilvl w:val="0"/>
          <w:numId w:val="11"/>
        </w:numPr>
        <w:spacing w:before="240" w:after="240"/>
        <w:ind w:left="360"/>
        <w:contextualSpacing w:val="0"/>
        <w:rPr>
          <w:b/>
        </w:rPr>
      </w:pPr>
      <w:r w:rsidRPr="0014014B">
        <w:rPr>
          <w:b/>
        </w:rPr>
        <w:t>Results</w:t>
      </w:r>
    </w:p>
    <w:p w14:paraId="68BE65A8" w14:textId="25D6361F" w:rsidR="004A56F4" w:rsidRPr="0014014B" w:rsidRDefault="004A56F4" w:rsidP="0014014B">
      <w:pPr>
        <w:ind w:firstLine="360"/>
        <w:jc w:val="both"/>
        <w:rPr>
          <w:sz w:val="20"/>
          <w:szCs w:val="20"/>
        </w:rPr>
      </w:pPr>
      <w:r w:rsidRPr="0014014B">
        <w:rPr>
          <w:sz w:val="20"/>
          <w:szCs w:val="20"/>
        </w:rPr>
        <w:t xml:space="preserve">Baseline performance with </w:t>
      </w:r>
      <w:r w:rsidR="0050461F">
        <w:rPr>
          <w:sz w:val="20"/>
          <w:szCs w:val="20"/>
        </w:rPr>
        <w:t xml:space="preserve">a one hidden </w:t>
      </w:r>
      <w:r w:rsidRPr="0014014B">
        <w:rPr>
          <w:sz w:val="20"/>
          <w:szCs w:val="20"/>
        </w:rPr>
        <w:t xml:space="preserve">layer neural network was unable to beat random guessing based on the prior distribution of 50% successful and 50% failed banks (α&lt;0.05), even on </w:t>
      </w:r>
      <w:r w:rsidR="0050461F">
        <w:rPr>
          <w:sz w:val="20"/>
          <w:szCs w:val="20"/>
        </w:rPr>
        <w:t xml:space="preserve">closed-set experiments on </w:t>
      </w:r>
      <w:r w:rsidRPr="0014014B">
        <w:rPr>
          <w:sz w:val="20"/>
          <w:szCs w:val="20"/>
        </w:rPr>
        <w:t xml:space="preserve">the training data. The system was able to find two distributions, but seemingly only because the input data gave the two groups of successful and failed banks. Performance did not significantly improve as the neural network was extended to 20 hidden layers, not even on the </w:t>
      </w:r>
      <w:r w:rsidR="000F67E7">
        <w:rPr>
          <w:sz w:val="20"/>
          <w:szCs w:val="20"/>
        </w:rPr>
        <w:t>training</w:t>
      </w:r>
      <w:r w:rsidRPr="0014014B">
        <w:rPr>
          <w:sz w:val="20"/>
          <w:szCs w:val="20"/>
        </w:rPr>
        <w:t xml:space="preserve"> data, to which the network </w:t>
      </w:r>
      <w:r w:rsidR="00581AFD">
        <w:rPr>
          <w:sz w:val="20"/>
          <w:szCs w:val="20"/>
        </w:rPr>
        <w:t xml:space="preserve">was </w:t>
      </w:r>
      <w:r w:rsidRPr="0014014B">
        <w:rPr>
          <w:sz w:val="20"/>
          <w:szCs w:val="20"/>
        </w:rPr>
        <w:t>expected to overfit the 24,652,609 parameters in the model when dropout was set to 0% to induce overfitting.</w:t>
      </w:r>
    </w:p>
    <w:p w14:paraId="6B4ED17E" w14:textId="62B4457D" w:rsidR="004A56F4" w:rsidRDefault="004A56F4" w:rsidP="00EB710F">
      <w:pPr>
        <w:ind w:firstLine="284"/>
        <w:jc w:val="both"/>
        <w:rPr>
          <w:sz w:val="20"/>
          <w:szCs w:val="20"/>
        </w:rPr>
      </w:pPr>
      <w:r>
        <w:rPr>
          <w:sz w:val="20"/>
          <w:szCs w:val="20"/>
        </w:rPr>
        <w:t>Most surprising</w:t>
      </w:r>
      <w:r w:rsidR="00122906">
        <w:rPr>
          <w:sz w:val="20"/>
          <w:szCs w:val="20"/>
        </w:rPr>
        <w:t xml:space="preserve">, </w:t>
      </w:r>
      <w:r>
        <w:rPr>
          <w:sz w:val="20"/>
          <w:szCs w:val="20"/>
        </w:rPr>
        <w:t xml:space="preserve">the </w:t>
      </w:r>
      <w:r w:rsidR="0050461F">
        <w:rPr>
          <w:sz w:val="20"/>
          <w:szCs w:val="20"/>
        </w:rPr>
        <w:t>multilayer perceptron (</w:t>
      </w:r>
      <w:r>
        <w:rPr>
          <w:sz w:val="20"/>
          <w:szCs w:val="20"/>
        </w:rPr>
        <w:t>MLP</w:t>
      </w:r>
      <w:r w:rsidR="0050461F">
        <w:rPr>
          <w:sz w:val="20"/>
          <w:szCs w:val="20"/>
        </w:rPr>
        <w:t>)</w:t>
      </w:r>
      <w:r>
        <w:rPr>
          <w:sz w:val="20"/>
          <w:szCs w:val="20"/>
        </w:rPr>
        <w:t xml:space="preserve"> </w:t>
      </w:r>
      <w:r w:rsidR="00122906">
        <w:rPr>
          <w:sz w:val="20"/>
          <w:szCs w:val="20"/>
        </w:rPr>
        <w:t>network</w:t>
      </w:r>
      <w:r w:rsidR="005B05BC">
        <w:rPr>
          <w:sz w:val="20"/>
          <w:szCs w:val="20"/>
        </w:rPr>
        <w:t>s</w:t>
      </w:r>
      <w:r w:rsidR="00122906">
        <w:rPr>
          <w:sz w:val="20"/>
          <w:szCs w:val="20"/>
        </w:rPr>
        <w:t xml:space="preserve"> </w:t>
      </w:r>
      <w:r>
        <w:rPr>
          <w:sz w:val="20"/>
          <w:szCs w:val="20"/>
        </w:rPr>
        <w:t>w</w:t>
      </w:r>
      <w:r w:rsidR="005B05BC">
        <w:rPr>
          <w:sz w:val="20"/>
          <w:szCs w:val="20"/>
        </w:rPr>
        <w:t>ere</w:t>
      </w:r>
      <w:r>
        <w:rPr>
          <w:sz w:val="20"/>
          <w:szCs w:val="20"/>
        </w:rPr>
        <w:t xml:space="preserve"> </w:t>
      </w:r>
      <w:r w:rsidR="00122906">
        <w:rPr>
          <w:sz w:val="20"/>
          <w:szCs w:val="20"/>
        </w:rPr>
        <w:t xml:space="preserve">unable </w:t>
      </w:r>
      <w:r>
        <w:rPr>
          <w:sz w:val="20"/>
          <w:szCs w:val="20"/>
        </w:rPr>
        <w:t xml:space="preserve">to </w:t>
      </w:r>
      <w:r w:rsidR="00122906">
        <w:rPr>
          <w:sz w:val="20"/>
          <w:szCs w:val="20"/>
        </w:rPr>
        <w:t xml:space="preserve">produce </w:t>
      </w:r>
      <w:r>
        <w:rPr>
          <w:sz w:val="20"/>
          <w:szCs w:val="20"/>
        </w:rPr>
        <w:t>two distributions. As larger and more parameter-heavy networks were explored, results tended to give</w:t>
      </w:r>
      <w:r w:rsidR="005F7218">
        <w:rPr>
          <w:sz w:val="20"/>
          <w:szCs w:val="20"/>
        </w:rPr>
        <w:t xml:space="preserve"> zero values along an entire row of the confusion matrix:</w:t>
      </w:r>
      <w:r>
        <w:rPr>
          <w:sz w:val="20"/>
          <w:szCs w:val="20"/>
        </w:rPr>
        <w:t xml:space="preserve"> </w:t>
      </w:r>
      <w:r w:rsidRPr="00C550AF">
        <w:rPr>
          <w:rFonts w:cs="Times New Roman"/>
          <w:sz w:val="20"/>
          <w:szCs w:val="20"/>
        </w:rPr>
        <w:t>100% sensitivity with 0% specificity, or vice versa</w:t>
      </w:r>
      <w:r w:rsidR="0050461F">
        <w:rPr>
          <w:rFonts w:cs="Times New Roman"/>
          <w:sz w:val="20"/>
          <w:szCs w:val="20"/>
        </w:rPr>
        <w:t xml:space="preserve">, as shown in </w:t>
      </w:r>
      <w:r w:rsidR="0050461F">
        <w:rPr>
          <w:rFonts w:cs="Times New Roman"/>
          <w:sz w:val="20"/>
          <w:szCs w:val="20"/>
        </w:rPr>
        <w:fldChar w:fldCharType="begin"/>
      </w:r>
      <w:r w:rsidR="0050461F">
        <w:rPr>
          <w:rFonts w:cs="Times New Roman"/>
          <w:sz w:val="20"/>
          <w:szCs w:val="20"/>
        </w:rPr>
        <w:instrText xml:space="preserve"> REF _Ref512367065 \* mergeformat</w:instrText>
      </w:r>
      <w:r w:rsidR="0050461F">
        <w:rPr>
          <w:rFonts w:cs="Times New Roman"/>
          <w:sz w:val="20"/>
          <w:szCs w:val="20"/>
        </w:rPr>
        <w:fldChar w:fldCharType="separate"/>
      </w:r>
      <w:r w:rsidR="00BB7995" w:rsidRPr="00BB7995">
        <w:rPr>
          <w:rFonts w:cs="Times New Roman"/>
          <w:sz w:val="20"/>
          <w:szCs w:val="20"/>
        </w:rPr>
        <w:t>Figure 3</w:t>
      </w:r>
      <w:r w:rsidR="0050461F">
        <w:rPr>
          <w:rFonts w:cs="Times New Roman"/>
          <w:sz w:val="20"/>
          <w:szCs w:val="20"/>
        </w:rPr>
        <w:fldChar w:fldCharType="end"/>
      </w:r>
      <w:r w:rsidRPr="00C550AF">
        <w:rPr>
          <w:rFonts w:cs="Times New Roman"/>
          <w:sz w:val="20"/>
          <w:szCs w:val="20"/>
        </w:rPr>
        <w:t>. Further</w:t>
      </w:r>
      <w:r w:rsidRPr="0050461F">
        <w:rPr>
          <w:rFonts w:cs="Times New Roman"/>
          <w:sz w:val="20"/>
          <w:szCs w:val="20"/>
        </w:rPr>
        <w:t>, the same model setup could be ru</w:t>
      </w:r>
      <w:r>
        <w:rPr>
          <w:sz w:val="20"/>
          <w:szCs w:val="20"/>
        </w:rPr>
        <w:t xml:space="preserve">n multiple times and not give the same result. Some runs gave 100% sensitivity and 0% specificity, while the next run </w:t>
      </w:r>
      <w:r>
        <w:rPr>
          <w:sz w:val="20"/>
          <w:szCs w:val="20"/>
        </w:rPr>
        <w:t>of the same model would give the reverse.</w:t>
      </w:r>
      <w:r w:rsidR="007506B5">
        <w:rPr>
          <w:sz w:val="20"/>
          <w:szCs w:val="20"/>
        </w:rPr>
        <w:t xml:space="preserve"> </w:t>
      </w:r>
      <w:r w:rsidR="007506B5">
        <w:rPr>
          <w:rFonts w:cs="Times New Roman"/>
          <w:sz w:val="20"/>
          <w:szCs w:val="20"/>
        </w:rPr>
        <w:t>CNN gave this same lack of performance.</w:t>
      </w:r>
      <w:r>
        <w:rPr>
          <w:sz w:val="20"/>
          <w:szCs w:val="20"/>
        </w:rPr>
        <w:t xml:space="preserve"> This indicates that the model</w:t>
      </w:r>
      <w:r w:rsidR="007506B5">
        <w:rPr>
          <w:sz w:val="20"/>
          <w:szCs w:val="20"/>
        </w:rPr>
        <w:t>s</w:t>
      </w:r>
      <w:r>
        <w:rPr>
          <w:sz w:val="20"/>
          <w:szCs w:val="20"/>
        </w:rPr>
        <w:t xml:space="preserve"> found nothing in the data onto which </w:t>
      </w:r>
      <w:r w:rsidR="007506B5">
        <w:rPr>
          <w:sz w:val="20"/>
          <w:szCs w:val="20"/>
        </w:rPr>
        <w:t>they</w:t>
      </w:r>
      <w:r>
        <w:rPr>
          <w:sz w:val="20"/>
          <w:szCs w:val="20"/>
        </w:rPr>
        <w:t xml:space="preserve"> could latch</w:t>
      </w:r>
      <w:r w:rsidR="00AF2CF0">
        <w:rPr>
          <w:sz w:val="20"/>
          <w:szCs w:val="20"/>
        </w:rPr>
        <w:t xml:space="preserve"> and separ</w:t>
      </w:r>
      <w:r w:rsidR="00AF2CF0" w:rsidRPr="007073F8">
        <w:rPr>
          <w:rFonts w:cs="Times New Roman"/>
          <w:sz w:val="20"/>
          <w:szCs w:val="20"/>
        </w:rPr>
        <w:t>ate the data</w:t>
      </w:r>
      <w:r w:rsidRPr="007073F8">
        <w:rPr>
          <w:rFonts w:cs="Times New Roman"/>
          <w:sz w:val="20"/>
          <w:szCs w:val="20"/>
        </w:rPr>
        <w:t>.</w:t>
      </w:r>
      <w:r w:rsidR="007506B5">
        <w:rPr>
          <w:rFonts w:cs="Times New Roman"/>
          <w:sz w:val="20"/>
          <w:szCs w:val="20"/>
        </w:rPr>
        <w:t xml:space="preserve"> </w:t>
      </w:r>
    </w:p>
    <w:p w14:paraId="49C7CB74" w14:textId="51F67596" w:rsidR="0014014B" w:rsidRPr="0014014B" w:rsidRDefault="004A56F4" w:rsidP="0014014B">
      <w:pPr>
        <w:pStyle w:val="ListParagraph"/>
        <w:numPr>
          <w:ilvl w:val="0"/>
          <w:numId w:val="11"/>
        </w:numPr>
        <w:spacing w:before="240" w:after="240"/>
        <w:ind w:left="360"/>
        <w:contextualSpacing w:val="0"/>
        <w:rPr>
          <w:b/>
        </w:rPr>
      </w:pPr>
      <w:r w:rsidRPr="0014014B">
        <w:rPr>
          <w:b/>
        </w:rPr>
        <w:t>Discussion</w:t>
      </w:r>
    </w:p>
    <w:p w14:paraId="15C9CA27" w14:textId="417950D3" w:rsidR="00E05E50" w:rsidRDefault="004A56F4" w:rsidP="00122906">
      <w:pPr>
        <w:ind w:firstLine="360"/>
        <w:jc w:val="both"/>
        <w:rPr>
          <w:sz w:val="20"/>
          <w:szCs w:val="20"/>
        </w:rPr>
      </w:pPr>
      <w:r w:rsidRPr="0014014B">
        <w:rPr>
          <w:sz w:val="20"/>
          <w:szCs w:val="20"/>
        </w:rPr>
        <w:t xml:space="preserve">The inability even to overfit to the </w:t>
      </w:r>
      <w:r w:rsidR="000F67E7">
        <w:rPr>
          <w:sz w:val="20"/>
          <w:szCs w:val="20"/>
        </w:rPr>
        <w:t>training</w:t>
      </w:r>
      <w:r w:rsidRPr="0014014B">
        <w:rPr>
          <w:sz w:val="20"/>
          <w:szCs w:val="20"/>
        </w:rPr>
        <w:t xml:space="preserve"> data was particularly surprising, especially since previous work</w:t>
      </w:r>
      <w:r w:rsidR="00122906">
        <w:rPr>
          <w:sz w:val="20"/>
          <w:szCs w:val="20"/>
        </w:rPr>
        <w:t> </w:t>
      </w:r>
      <w:r w:rsidR="00122906">
        <w:rPr>
          <w:sz w:val="20"/>
          <w:szCs w:val="20"/>
        </w:rPr>
        <w:fldChar w:fldCharType="begin"/>
      </w:r>
      <w:r w:rsidR="00122906">
        <w:rPr>
          <w:sz w:val="20"/>
          <w:szCs w:val="20"/>
        </w:rPr>
        <w:instrText xml:space="preserve"> REF _Ref512208744 \n </w:instrText>
      </w:r>
      <w:r w:rsidR="00122906">
        <w:rPr>
          <w:sz w:val="20"/>
          <w:szCs w:val="20"/>
        </w:rPr>
        <w:fldChar w:fldCharType="separate"/>
      </w:r>
      <w:r w:rsidR="00BB7995">
        <w:rPr>
          <w:sz w:val="20"/>
          <w:szCs w:val="20"/>
        </w:rPr>
        <w:t>[4]</w:t>
      </w:r>
      <w:r w:rsidR="00122906">
        <w:rPr>
          <w:sz w:val="20"/>
          <w:szCs w:val="20"/>
        </w:rPr>
        <w:fldChar w:fldCharType="end"/>
      </w:r>
      <w:r w:rsidR="00122906">
        <w:rPr>
          <w:sz w:val="20"/>
          <w:szCs w:val="20"/>
        </w:rPr>
        <w:softHyphen/>
      </w:r>
      <w:r w:rsidR="00122906">
        <w:rPr>
          <w:sz w:val="20"/>
          <w:szCs w:val="20"/>
        </w:rPr>
        <w:softHyphen/>
      </w:r>
      <w:r w:rsidR="00122906">
        <w:rPr>
          <w:sz w:val="20"/>
          <w:szCs w:val="20"/>
        </w:rPr>
        <w:noBreakHyphen/>
      </w:r>
      <w:r w:rsidR="00122906">
        <w:rPr>
          <w:sz w:val="20"/>
          <w:szCs w:val="20"/>
        </w:rPr>
        <w:fldChar w:fldCharType="begin"/>
      </w:r>
      <w:r w:rsidR="00122906">
        <w:rPr>
          <w:sz w:val="20"/>
          <w:szCs w:val="20"/>
        </w:rPr>
        <w:instrText xml:space="preserve"> REF _Ref512208728 \n </w:instrText>
      </w:r>
      <w:r w:rsidR="00122906">
        <w:rPr>
          <w:sz w:val="20"/>
          <w:szCs w:val="20"/>
        </w:rPr>
        <w:fldChar w:fldCharType="separate"/>
      </w:r>
      <w:r w:rsidR="00BB7995">
        <w:rPr>
          <w:sz w:val="20"/>
          <w:szCs w:val="20"/>
        </w:rPr>
        <w:t>[7]</w:t>
      </w:r>
      <w:r w:rsidR="00122906">
        <w:rPr>
          <w:sz w:val="20"/>
          <w:szCs w:val="20"/>
        </w:rPr>
        <w:fldChar w:fldCharType="end"/>
      </w:r>
      <w:r w:rsidRPr="0014014B">
        <w:rPr>
          <w:sz w:val="20"/>
          <w:szCs w:val="20"/>
        </w:rPr>
        <w:t xml:space="preserve"> was able to produce strong accuracy in predicting bank failures, both in terms of sensitivity and specificity.</w:t>
      </w:r>
    </w:p>
    <w:p w14:paraId="571D304D" w14:textId="445DF0E5" w:rsidR="004A56F4" w:rsidRDefault="004A56F4" w:rsidP="00122906">
      <w:pPr>
        <w:ind w:firstLine="360"/>
        <w:jc w:val="both"/>
        <w:rPr>
          <w:sz w:val="20"/>
          <w:szCs w:val="20"/>
        </w:rPr>
      </w:pPr>
      <w:r>
        <w:rPr>
          <w:sz w:val="20"/>
          <w:szCs w:val="20"/>
        </w:rPr>
        <w:t>These results raise a number of questions. The first is a criticism of the technique</w:t>
      </w:r>
      <w:r w:rsidR="0013097F">
        <w:rPr>
          <w:sz w:val="20"/>
          <w:szCs w:val="20"/>
        </w:rPr>
        <w:t xml:space="preserve">s used, particularly given the </w:t>
      </w:r>
      <w:r>
        <w:rPr>
          <w:sz w:val="20"/>
          <w:szCs w:val="20"/>
        </w:rPr>
        <w:t>somewhat small amount of data used to build the fully-connected and convolutional neural networks. Why use such complicated modeling technique</w:t>
      </w:r>
      <w:r w:rsidR="00B227CA">
        <w:rPr>
          <w:sz w:val="20"/>
          <w:szCs w:val="20"/>
        </w:rPr>
        <w:t>s</w:t>
      </w:r>
      <w:r>
        <w:rPr>
          <w:sz w:val="20"/>
          <w:szCs w:val="20"/>
        </w:rPr>
        <w:t xml:space="preserve">? That the neural networks were unable even to overfit indicates that an overly complicated modeling technique for the data size is not the culprit of poor performance.  </w:t>
      </w:r>
    </w:p>
    <w:p w14:paraId="15D2DCF5" w14:textId="238EE4E2" w:rsidR="004A56F4" w:rsidRDefault="004A56F4" w:rsidP="00E05E50">
      <w:pPr>
        <w:ind w:firstLine="284"/>
        <w:contextualSpacing/>
        <w:jc w:val="both"/>
        <w:rPr>
          <w:sz w:val="20"/>
          <w:szCs w:val="20"/>
        </w:rPr>
      </w:pPr>
      <w:r>
        <w:rPr>
          <w:sz w:val="20"/>
          <w:szCs w:val="20"/>
        </w:rPr>
        <w:t>The second question concerns the time sensitivity of bank health. In particular, do exogenous factors contribute to bank failures? Intuitively, this seems like it would be the case. Before and after the Global Financial Crisis, bank failu</w:t>
      </w:r>
      <w:r w:rsidR="00122906">
        <w:rPr>
          <w:sz w:val="20"/>
          <w:szCs w:val="20"/>
        </w:rPr>
        <w:t>res were rare. During the GFC</w:t>
      </w:r>
      <w:r>
        <w:rPr>
          <w:sz w:val="20"/>
          <w:szCs w:val="20"/>
        </w:rPr>
        <w:t xml:space="preserve">, however, bank failures spiked. It is hard to dismiss this as coincidence. This brings up the frightening prospect that the generally good economy since the end of the </w:t>
      </w:r>
      <w:r w:rsidR="00122906">
        <w:rPr>
          <w:sz w:val="20"/>
          <w:szCs w:val="20"/>
        </w:rPr>
        <w:t xml:space="preserve">GFC </w:t>
      </w:r>
      <w:r>
        <w:rPr>
          <w:sz w:val="20"/>
          <w:szCs w:val="20"/>
        </w:rPr>
        <w:t>has masked problems at banks that simply have yet to experience another exogenous trigger of failure.</w:t>
      </w:r>
    </w:p>
    <w:p w14:paraId="55735475" w14:textId="3ABDAE96" w:rsidR="004A56F4" w:rsidRDefault="0050461F" w:rsidP="00EB710F">
      <w:pPr>
        <w:ind w:firstLine="284"/>
        <w:jc w:val="both"/>
        <w:rPr>
          <w:sz w:val="20"/>
          <w:szCs w:val="20"/>
        </w:rPr>
      </w:pPr>
      <w:r>
        <w:rPr>
          <w:noProof/>
          <w:sz w:val="20"/>
          <w:szCs w:val="20"/>
        </w:rPr>
        <mc:AlternateContent>
          <mc:Choice Requires="wps">
            <w:drawing>
              <wp:anchor distT="137160" distB="0" distL="0" distR="0" simplePos="0" relativeHeight="251668480" behindDoc="0" locked="0" layoutInCell="1" allowOverlap="1" wp14:anchorId="1D132B3D" wp14:editId="55B2D3F8">
                <wp:simplePos x="0" y="0"/>
                <wp:positionH relativeFrom="margin">
                  <wp:align>right</wp:align>
                </wp:positionH>
                <wp:positionV relativeFrom="margin">
                  <wp:align>bottom</wp:align>
                </wp:positionV>
                <wp:extent cx="2807208" cy="1719072"/>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807208" cy="1719072"/>
                        </a:xfrm>
                        <a:prstGeom prst="rect">
                          <a:avLst/>
                        </a:prstGeom>
                        <a:solidFill>
                          <a:schemeClr val="lt1"/>
                        </a:solidFill>
                        <a:ln w="6350">
                          <a:noFill/>
                        </a:ln>
                      </wps:spPr>
                      <wps:txbx>
                        <w:txbxContent>
                          <w:p w14:paraId="1A3C16F1" w14:textId="77777777" w:rsidR="005F7218" w:rsidRDefault="009A2BB7" w:rsidP="005F7218">
                            <w:pPr>
                              <w:jc w:val="center"/>
                            </w:pPr>
                            <w:r>
                              <w:rPr>
                                <w:noProof/>
                                <w:sz w:val="20"/>
                                <w:szCs w:val="20"/>
                              </w:rPr>
                              <w:drawing>
                                <wp:inline distT="0" distB="0" distL="0" distR="0" wp14:anchorId="0B05CF50" wp14:editId="78EEF511">
                                  <wp:extent cx="2800350" cy="1290451"/>
                                  <wp:effectExtent l="0" t="0" r="0" b="5080"/>
                                  <wp:docPr id="6" name="Picture 6" descr="C:\Users\Dave\Documents\MyOldDellDocuments\DaveDocs on Dbj\Graduate School\Temple MS in Statistics\Picone Lab (Grad School)\Interface With Finance\My Papers\CNN So Far\figure_3_confusion_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Documents\MyOldDellDocuments\DaveDocs on Dbj\Graduate School\Temple MS in Statistics\Picone Lab (Grad School)\Interface With Finance\My Papers\CNN So Far\figure_3_confusion_matri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50" cy="1290451"/>
                                          </a:xfrm>
                                          <a:prstGeom prst="rect">
                                            <a:avLst/>
                                          </a:prstGeom>
                                          <a:noFill/>
                                          <a:ln>
                                            <a:noFill/>
                                          </a:ln>
                                        </pic:spPr>
                                      </pic:pic>
                                    </a:graphicData>
                                  </a:graphic>
                                </wp:inline>
                              </w:drawing>
                            </w:r>
                            <w:r w:rsidR="005F7218" w:rsidRPr="00E60D5A">
                              <w:rPr>
                                <w:noProof/>
                                <w:sz w:val="20"/>
                                <w:szCs w:val="20"/>
                              </w:rPr>
                              <w:t xml:space="preserve"> </w:t>
                            </w:r>
                          </w:p>
                          <w:p w14:paraId="1EF25AE6" w14:textId="43338AF2" w:rsidR="005F7218" w:rsidRDefault="00C550AF" w:rsidP="00122906">
                            <w:pPr>
                              <w:pStyle w:val="Caption"/>
                              <w:spacing w:before="120" w:after="0"/>
                              <w:jc w:val="both"/>
                            </w:pPr>
                            <w:bookmarkStart w:id="6" w:name="_Ref512367065"/>
                            <w:r w:rsidRPr="005B1AC3">
                              <w:rPr>
                                <w:rFonts w:ascii="Arial" w:hAnsi="Arial" w:cs="Arial"/>
                                <w:b/>
                                <w:i w:val="0"/>
                                <w:color w:val="000000" w:themeColor="text1"/>
                                <w:sz w:val="20"/>
                                <w:szCs w:val="20"/>
                              </w:rPr>
                              <w:t>Figure</w:t>
                            </w:r>
                            <w:r>
                              <w:rPr>
                                <w:rFonts w:ascii="Arial" w:hAnsi="Arial" w:cs="Arial"/>
                                <w:b/>
                                <w:i w:val="0"/>
                                <w:color w:val="000000" w:themeColor="text1"/>
                                <w:sz w:val="20"/>
                                <w:szCs w:val="20"/>
                              </w:rPr>
                              <w:t xml:space="preserve"> </w:t>
                            </w:r>
                            <w:r>
                              <w:rPr>
                                <w:rFonts w:ascii="Arial" w:hAnsi="Arial" w:cs="Arial"/>
                                <w:b/>
                                <w:i w:val="0"/>
                                <w:color w:val="000000" w:themeColor="text1"/>
                                <w:sz w:val="20"/>
                                <w:szCs w:val="20"/>
                              </w:rPr>
                              <w:fldChar w:fldCharType="begin"/>
                            </w:r>
                            <w:r>
                              <w:rPr>
                                <w:rFonts w:ascii="Arial" w:hAnsi="Arial" w:cs="Arial"/>
                                <w:b/>
                                <w:i w:val="0"/>
                                <w:color w:val="000000" w:themeColor="text1"/>
                                <w:sz w:val="20"/>
                                <w:szCs w:val="20"/>
                              </w:rPr>
                              <w:instrText xml:space="preserve"> SEQ Figure \* ARABIC </w:instrText>
                            </w:r>
                            <w:r>
                              <w:rPr>
                                <w:rFonts w:ascii="Arial" w:hAnsi="Arial" w:cs="Arial"/>
                                <w:b/>
                                <w:i w:val="0"/>
                                <w:color w:val="000000" w:themeColor="text1"/>
                                <w:sz w:val="20"/>
                                <w:szCs w:val="20"/>
                              </w:rPr>
                              <w:fldChar w:fldCharType="separate"/>
                            </w:r>
                            <w:r w:rsidR="00BB7995">
                              <w:rPr>
                                <w:rFonts w:ascii="Arial" w:hAnsi="Arial" w:cs="Arial"/>
                                <w:b/>
                                <w:i w:val="0"/>
                                <w:noProof/>
                                <w:color w:val="000000" w:themeColor="text1"/>
                                <w:sz w:val="20"/>
                                <w:szCs w:val="20"/>
                              </w:rPr>
                              <w:t>3</w:t>
                            </w:r>
                            <w:r>
                              <w:rPr>
                                <w:rFonts w:ascii="Arial" w:hAnsi="Arial" w:cs="Arial"/>
                                <w:b/>
                                <w:i w:val="0"/>
                                <w:color w:val="000000" w:themeColor="text1"/>
                                <w:sz w:val="20"/>
                                <w:szCs w:val="20"/>
                              </w:rPr>
                              <w:fldChar w:fldCharType="end"/>
                            </w:r>
                            <w:bookmarkEnd w:id="6"/>
                            <w:r>
                              <w:rPr>
                                <w:rFonts w:ascii="Arial" w:hAnsi="Arial" w:cs="Arial"/>
                                <w:b/>
                                <w:i w:val="0"/>
                                <w:color w:val="000000" w:themeColor="text1"/>
                                <w:sz w:val="20"/>
                                <w:szCs w:val="20"/>
                              </w:rPr>
                              <w:t xml:space="preserve">. </w:t>
                            </w:r>
                            <w:r w:rsidR="00122906">
                              <w:rPr>
                                <w:rFonts w:ascii="Arial" w:hAnsi="Arial" w:cs="Arial"/>
                                <w:b/>
                                <w:i w:val="0"/>
                                <w:color w:val="000000" w:themeColor="text1"/>
                                <w:sz w:val="20"/>
                                <w:szCs w:val="20"/>
                              </w:rPr>
                              <w:t>The results of closed-loop analysis using MLP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32B3D" id="Text Box 10" o:spid="_x0000_s1029" type="#_x0000_t202" style="position:absolute;left:0;text-align:left;margin-left:169.85pt;margin-top:0;width:221.05pt;height:135.35pt;z-index:251668480;visibility:visible;mso-wrap-style:square;mso-width-percent:0;mso-height-percent:0;mso-wrap-distance-left:0;mso-wrap-distance-top:10.8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" fillcolor="white [3201]" stroked="f" strokeweight=".5pt">
                <v:textbox inset="0,0,0,0">
                  <w:txbxContent>
                    <w:p w14:paraId="1A3C16F1" w14:textId="77777777" w:rsidR="005F7218" w:rsidRDefault="009A2BB7" w:rsidP="005F7218">
                      <w:pPr>
                        <w:jc w:val="center"/>
                      </w:pPr>
                      <w:r>
                        <w:rPr>
                          <w:noProof/>
                          <w:sz w:val="20"/>
                          <w:szCs w:val="20"/>
                        </w:rPr>
                        <w:drawing>
                          <wp:inline distT="0" distB="0" distL="0" distR="0" wp14:anchorId="0B05CF50" wp14:editId="78EEF511">
                            <wp:extent cx="2800350" cy="1290451"/>
                            <wp:effectExtent l="0" t="0" r="0" b="5080"/>
                            <wp:docPr id="6" name="Picture 6" descr="C:\Users\Dave\Documents\MyOldDellDocuments\DaveDocs on Dbj\Graduate School\Temple MS in Statistics\Picone Lab (Grad School)\Interface With Finance\My Papers\CNN So Far\figure_3_confusion_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Documents\MyOldDellDocuments\DaveDocs on Dbj\Graduate School\Temple MS in Statistics\Picone Lab (Grad School)\Interface With Finance\My Papers\CNN So Far\figure_3_confusion_matrix.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0350" cy="1290451"/>
                                    </a:xfrm>
                                    <a:prstGeom prst="rect">
                                      <a:avLst/>
                                    </a:prstGeom>
                                    <a:noFill/>
                                    <a:ln>
                                      <a:noFill/>
                                    </a:ln>
                                  </pic:spPr>
                                </pic:pic>
                              </a:graphicData>
                            </a:graphic>
                          </wp:inline>
                        </w:drawing>
                      </w:r>
                      <w:r w:rsidR="005F7218" w:rsidRPr="00E60D5A">
                        <w:rPr>
                          <w:noProof/>
                          <w:sz w:val="20"/>
                          <w:szCs w:val="20"/>
                        </w:rPr>
                        <w:t xml:space="preserve"> </w:t>
                      </w:r>
                    </w:p>
                    <w:p w14:paraId="1EF25AE6" w14:textId="43338AF2" w:rsidR="005F7218" w:rsidRDefault="00C550AF" w:rsidP="00122906">
                      <w:pPr>
                        <w:pStyle w:val="Caption"/>
                        <w:spacing w:before="120" w:after="0"/>
                        <w:jc w:val="both"/>
                      </w:pPr>
                      <w:bookmarkStart w:id="10" w:name="_Ref512367065"/>
                      <w:r w:rsidRPr="005B1AC3">
                        <w:rPr>
                          <w:rFonts w:ascii="Arial" w:hAnsi="Arial" w:cs="Arial"/>
                          <w:b/>
                          <w:i w:val="0"/>
                          <w:color w:val="000000" w:themeColor="text1"/>
                          <w:sz w:val="20"/>
                          <w:szCs w:val="20"/>
                        </w:rPr>
                        <w:t>Figure</w:t>
                      </w:r>
                      <w:r>
                        <w:rPr>
                          <w:rFonts w:ascii="Arial" w:hAnsi="Arial" w:cs="Arial"/>
                          <w:b/>
                          <w:i w:val="0"/>
                          <w:color w:val="000000" w:themeColor="text1"/>
                          <w:sz w:val="20"/>
                          <w:szCs w:val="20"/>
                        </w:rPr>
                        <w:t xml:space="preserve"> </w:t>
                      </w:r>
                      <w:r>
                        <w:rPr>
                          <w:rFonts w:ascii="Arial" w:hAnsi="Arial" w:cs="Arial"/>
                          <w:b/>
                          <w:i w:val="0"/>
                          <w:color w:val="000000" w:themeColor="text1"/>
                          <w:sz w:val="20"/>
                          <w:szCs w:val="20"/>
                        </w:rPr>
                        <w:fldChar w:fldCharType="begin"/>
                      </w:r>
                      <w:r>
                        <w:rPr>
                          <w:rFonts w:ascii="Arial" w:hAnsi="Arial" w:cs="Arial"/>
                          <w:b/>
                          <w:i w:val="0"/>
                          <w:color w:val="000000" w:themeColor="text1"/>
                          <w:sz w:val="20"/>
                          <w:szCs w:val="20"/>
                        </w:rPr>
                        <w:instrText xml:space="preserve"> SEQ Figure \* ARABIC </w:instrText>
                      </w:r>
                      <w:r>
                        <w:rPr>
                          <w:rFonts w:ascii="Arial" w:hAnsi="Arial" w:cs="Arial"/>
                          <w:b/>
                          <w:i w:val="0"/>
                          <w:color w:val="000000" w:themeColor="text1"/>
                          <w:sz w:val="20"/>
                          <w:szCs w:val="20"/>
                        </w:rPr>
                        <w:fldChar w:fldCharType="separate"/>
                      </w:r>
                      <w:r w:rsidR="00BB7995">
                        <w:rPr>
                          <w:rFonts w:ascii="Arial" w:hAnsi="Arial" w:cs="Arial"/>
                          <w:b/>
                          <w:i w:val="0"/>
                          <w:noProof/>
                          <w:color w:val="000000" w:themeColor="text1"/>
                          <w:sz w:val="20"/>
                          <w:szCs w:val="20"/>
                        </w:rPr>
                        <w:t>3</w:t>
                      </w:r>
                      <w:r>
                        <w:rPr>
                          <w:rFonts w:ascii="Arial" w:hAnsi="Arial" w:cs="Arial"/>
                          <w:b/>
                          <w:i w:val="0"/>
                          <w:color w:val="000000" w:themeColor="text1"/>
                          <w:sz w:val="20"/>
                          <w:szCs w:val="20"/>
                        </w:rPr>
                        <w:fldChar w:fldCharType="end"/>
                      </w:r>
                      <w:bookmarkEnd w:id="10"/>
                      <w:r>
                        <w:rPr>
                          <w:rFonts w:ascii="Arial" w:hAnsi="Arial" w:cs="Arial"/>
                          <w:b/>
                          <w:i w:val="0"/>
                          <w:color w:val="000000" w:themeColor="text1"/>
                          <w:sz w:val="20"/>
                          <w:szCs w:val="20"/>
                        </w:rPr>
                        <w:t xml:space="preserve">. </w:t>
                      </w:r>
                      <w:r w:rsidR="00122906">
                        <w:rPr>
                          <w:rFonts w:ascii="Arial" w:hAnsi="Arial" w:cs="Arial"/>
                          <w:b/>
                          <w:i w:val="0"/>
                          <w:color w:val="000000" w:themeColor="text1"/>
                          <w:sz w:val="20"/>
                          <w:szCs w:val="20"/>
                        </w:rPr>
                        <w:t>The results of closed-loop analysis using MLP</w:t>
                      </w:r>
                    </w:p>
                  </w:txbxContent>
                </v:textbox>
                <w10:wrap type="square" anchorx="margin" anchory="margin"/>
              </v:shape>
            </w:pict>
          </mc:Fallback>
        </mc:AlternateContent>
      </w:r>
      <w:r w:rsidR="004A56F4">
        <w:rPr>
          <w:sz w:val="20"/>
          <w:szCs w:val="20"/>
        </w:rPr>
        <w:t>The third question is if the variables in this study are adequate to capture the health of a bank. Indeed, the variables were chosen due to limitations of the SDI and the requirement</w:t>
      </w:r>
      <w:r w:rsidR="0013097F">
        <w:rPr>
          <w:sz w:val="20"/>
          <w:szCs w:val="20"/>
        </w:rPr>
        <w:t>s</w:t>
      </w:r>
      <w:r w:rsidR="004A56F4">
        <w:rPr>
          <w:sz w:val="20"/>
          <w:szCs w:val="20"/>
        </w:rPr>
        <w:t xml:space="preserve"> of CNN</w:t>
      </w:r>
      <w:r w:rsidR="0013097F">
        <w:rPr>
          <w:sz w:val="20"/>
          <w:szCs w:val="20"/>
        </w:rPr>
        <w:t>s</w:t>
      </w:r>
      <w:r w:rsidR="004A56F4">
        <w:rPr>
          <w:sz w:val="20"/>
          <w:szCs w:val="20"/>
        </w:rPr>
        <w:t xml:space="preserve"> that preclude the use of variables with missing data. Further work could allow for some missing data but not having such a hard restriction of excluding any variables that had even one missing datum for any bank across the entire time span. For variables with the occasional missing datum, various techniques could be used to fill in the gaps, </w:t>
      </w:r>
      <w:r w:rsidR="004A56F4">
        <w:rPr>
          <w:sz w:val="20"/>
          <w:szCs w:val="20"/>
        </w:rPr>
        <w:lastRenderedPageBreak/>
        <w:t>ran</w:t>
      </w:r>
      <w:r w:rsidR="00122906">
        <w:rPr>
          <w:sz w:val="20"/>
          <w:szCs w:val="20"/>
        </w:rPr>
        <w:t xml:space="preserve">ging from simple interpolation </w:t>
      </w:r>
      <w:r w:rsidR="004A56F4">
        <w:rPr>
          <w:sz w:val="20"/>
          <w:szCs w:val="20"/>
        </w:rPr>
        <w:t>to</w:t>
      </w:r>
      <w:r w:rsidR="00122906">
        <w:rPr>
          <w:sz w:val="20"/>
          <w:szCs w:val="20"/>
        </w:rPr>
        <w:t xml:space="preserve"> more complex techniques such as autoencoders </w:t>
      </w:r>
      <w:r w:rsidR="00D7394C">
        <w:rPr>
          <w:sz w:val="20"/>
          <w:szCs w:val="20"/>
        </w:rPr>
        <w:fldChar w:fldCharType="begin"/>
      </w:r>
      <w:r w:rsidR="00D7394C">
        <w:rPr>
          <w:sz w:val="20"/>
          <w:szCs w:val="20"/>
        </w:rPr>
        <w:instrText xml:space="preserve"> REF _Ref513751636 \r </w:instrText>
      </w:r>
      <w:r w:rsidR="00D7394C">
        <w:rPr>
          <w:sz w:val="20"/>
          <w:szCs w:val="20"/>
        </w:rPr>
        <w:fldChar w:fldCharType="separate"/>
      </w:r>
      <w:r w:rsidR="00BB7995">
        <w:rPr>
          <w:sz w:val="20"/>
          <w:szCs w:val="20"/>
        </w:rPr>
        <w:t>[18]</w:t>
      </w:r>
      <w:r w:rsidR="00D7394C">
        <w:rPr>
          <w:sz w:val="20"/>
          <w:szCs w:val="20"/>
        </w:rPr>
        <w:fldChar w:fldCharType="end"/>
      </w:r>
      <w:r w:rsidR="004A56F4">
        <w:rPr>
          <w:sz w:val="20"/>
          <w:szCs w:val="20"/>
        </w:rPr>
        <w:t xml:space="preserve">. </w:t>
      </w:r>
    </w:p>
    <w:p w14:paraId="447BE1D9" w14:textId="730CA0E6" w:rsidR="004A56F4" w:rsidRDefault="004A56F4" w:rsidP="00EB710F">
      <w:pPr>
        <w:ind w:firstLine="284"/>
        <w:jc w:val="both"/>
        <w:rPr>
          <w:sz w:val="20"/>
          <w:szCs w:val="20"/>
        </w:rPr>
      </w:pPr>
      <w:r>
        <w:rPr>
          <w:sz w:val="20"/>
          <w:szCs w:val="20"/>
        </w:rPr>
        <w:t xml:space="preserve">Once the 20-layer fully-connected neural network showed no ability to separate the </w:t>
      </w:r>
      <w:r w:rsidR="000F67E7">
        <w:rPr>
          <w:sz w:val="20"/>
          <w:szCs w:val="20"/>
        </w:rPr>
        <w:t>training</w:t>
      </w:r>
      <w:r>
        <w:rPr>
          <w:sz w:val="20"/>
          <w:szCs w:val="20"/>
        </w:rPr>
        <w:t xml:space="preserve"> data, the prospects for the other techniques l</w:t>
      </w:r>
      <w:r w:rsidR="0050461F">
        <w:rPr>
          <w:sz w:val="20"/>
          <w:szCs w:val="20"/>
        </w:rPr>
        <w:t xml:space="preserve">ooked rather grim. Indeed, high </w:t>
      </w:r>
      <w:r>
        <w:rPr>
          <w:sz w:val="20"/>
          <w:szCs w:val="20"/>
        </w:rPr>
        <w:t xml:space="preserve">parameter </w:t>
      </w:r>
      <w:r w:rsidR="0050461F">
        <w:rPr>
          <w:sz w:val="20"/>
          <w:szCs w:val="20"/>
        </w:rPr>
        <w:t xml:space="preserve">counts for </w:t>
      </w:r>
      <w:r>
        <w:rPr>
          <w:sz w:val="20"/>
          <w:szCs w:val="20"/>
        </w:rPr>
        <w:t>models of the data produced no separation of the data. The lack of even producing two classifications suggests that the data for both failed and successful banks are generated by the same process, the opposite of the expectation that the successful banks have their processes of good management while the failed banks have their processes of mismanagement.</w:t>
      </w:r>
      <w:r w:rsidR="00BC468B">
        <w:rPr>
          <w:sz w:val="20"/>
          <w:szCs w:val="20"/>
        </w:rPr>
        <w:t xml:space="preserve"> </w:t>
      </w:r>
    </w:p>
    <w:p w14:paraId="5F941766" w14:textId="77777777" w:rsidR="0014014B" w:rsidRDefault="0014014B" w:rsidP="0014014B">
      <w:pPr>
        <w:pStyle w:val="ListParagraph"/>
        <w:numPr>
          <w:ilvl w:val="0"/>
          <w:numId w:val="11"/>
        </w:numPr>
        <w:spacing w:before="240" w:after="240"/>
        <w:ind w:left="360"/>
        <w:contextualSpacing w:val="0"/>
        <w:rPr>
          <w:b/>
        </w:rPr>
      </w:pPr>
      <w:r w:rsidRPr="0014014B">
        <w:rPr>
          <w:b/>
        </w:rPr>
        <w:t>Conclusion</w:t>
      </w:r>
    </w:p>
    <w:p w14:paraId="4F528E87" w14:textId="09EDE3DF" w:rsidR="004A56F4" w:rsidRPr="0014014B" w:rsidRDefault="004A56F4" w:rsidP="00D865D1">
      <w:pPr>
        <w:spacing w:after="240"/>
        <w:ind w:firstLine="360"/>
        <w:contextualSpacing/>
        <w:jc w:val="both"/>
        <w:rPr>
          <w:sz w:val="20"/>
          <w:szCs w:val="20"/>
        </w:rPr>
      </w:pPr>
      <w:r w:rsidRPr="0014014B">
        <w:rPr>
          <w:sz w:val="20"/>
          <w:szCs w:val="20"/>
        </w:rPr>
        <w:t>It appears that the information necessary to classify a bank as healthy or unhealthy is not endogenous to the signals used in this study. High-parameter neural networks were unable to give performance significantly (</w:t>
      </w:r>
      <w:r w:rsidRPr="0014014B">
        <w:rPr>
          <w:rFonts w:ascii="Calibri" w:hAnsi="Calibri" w:cs="Calibri"/>
          <w:sz w:val="20"/>
          <w:szCs w:val="20"/>
        </w:rPr>
        <w:t>α</w:t>
      </w:r>
      <w:r w:rsidR="00D72469" w:rsidRPr="0014014B">
        <w:rPr>
          <w:sz w:val="20"/>
          <w:szCs w:val="20"/>
        </w:rPr>
        <w:t xml:space="preserve">&lt;0.05) better </w:t>
      </w:r>
      <w:r w:rsidRPr="0014014B">
        <w:rPr>
          <w:sz w:val="20"/>
          <w:szCs w:val="20"/>
        </w:rPr>
        <w:t xml:space="preserve">than random guessing based on the 50/50 prior distribution, even on the </w:t>
      </w:r>
      <w:r w:rsidR="000F67E7">
        <w:rPr>
          <w:sz w:val="20"/>
          <w:szCs w:val="20"/>
        </w:rPr>
        <w:t>training</w:t>
      </w:r>
      <w:r w:rsidRPr="0014014B">
        <w:rPr>
          <w:sz w:val="20"/>
          <w:szCs w:val="20"/>
        </w:rPr>
        <w:t xml:space="preserve"> data.</w:t>
      </w:r>
    </w:p>
    <w:p w14:paraId="2D32AF28" w14:textId="022E5691" w:rsidR="004A56F4" w:rsidRPr="006314A0" w:rsidRDefault="004A56F4" w:rsidP="00E05E50">
      <w:pPr>
        <w:ind w:firstLine="360"/>
        <w:contextualSpacing/>
        <w:jc w:val="both"/>
        <w:rPr>
          <w:sz w:val="20"/>
          <w:szCs w:val="20"/>
        </w:rPr>
      </w:pPr>
      <w:r>
        <w:rPr>
          <w:sz w:val="20"/>
          <w:szCs w:val="20"/>
        </w:rPr>
        <w:t>Endogenous bank health using the SDI seems to be an intractable problem</w:t>
      </w:r>
      <w:r w:rsidR="00764571">
        <w:rPr>
          <w:sz w:val="20"/>
          <w:szCs w:val="20"/>
        </w:rPr>
        <w:t xml:space="preserve"> that requires some way to account for exogenous factors</w:t>
      </w:r>
      <w:r>
        <w:rPr>
          <w:sz w:val="20"/>
          <w:szCs w:val="20"/>
        </w:rPr>
        <w:t xml:space="preserve">. The data used in this study come from the reputable source of the </w:t>
      </w:r>
      <w:r w:rsidR="00FA2B8F">
        <w:rPr>
          <w:sz w:val="20"/>
          <w:szCs w:val="20"/>
        </w:rPr>
        <w:t>American</w:t>
      </w:r>
      <w:r>
        <w:rPr>
          <w:sz w:val="20"/>
          <w:szCs w:val="20"/>
        </w:rPr>
        <w:t xml:space="preserve"> Federal Government, yet existing, and in fact state-of-the-art, techniques did not work to make the ever-critical prediction of banks in danger of failure. </w:t>
      </w:r>
    </w:p>
    <w:p w14:paraId="0C764A68" w14:textId="77777777" w:rsidR="00015B78" w:rsidRDefault="00E427EF" w:rsidP="0014014B">
      <w:pPr>
        <w:pStyle w:val="ListParagraph"/>
        <w:numPr>
          <w:ilvl w:val="0"/>
          <w:numId w:val="11"/>
        </w:numPr>
        <w:spacing w:before="240" w:after="240"/>
        <w:ind w:left="360"/>
        <w:contextualSpacing w:val="0"/>
        <w:rPr>
          <w:b/>
        </w:rPr>
      </w:pPr>
      <w:r>
        <w:rPr>
          <w:b/>
        </w:rPr>
        <w:t>References</w:t>
      </w:r>
    </w:p>
    <w:p w14:paraId="08A0D618" w14:textId="13E2E2D0" w:rsidR="00BB543E" w:rsidRPr="005D4D6C" w:rsidRDefault="000B6483" w:rsidP="008E4E62">
      <w:pPr>
        <w:pStyle w:val="ListParagraph"/>
        <w:numPr>
          <w:ilvl w:val="0"/>
          <w:numId w:val="10"/>
        </w:numPr>
        <w:spacing w:after="120"/>
        <w:contextualSpacing w:val="0"/>
        <w:jc w:val="both"/>
        <w:rPr>
          <w:sz w:val="18"/>
          <w:szCs w:val="18"/>
        </w:rPr>
      </w:pPr>
      <w:bookmarkStart w:id="7" w:name="_Ref513751580"/>
      <w:r w:rsidRPr="000E7D9D">
        <w:rPr>
          <w:rFonts w:cs="Times New Roman"/>
          <w:sz w:val="18"/>
          <w:szCs w:val="18"/>
        </w:rPr>
        <w:t xml:space="preserve">A. Greenspan, “Never Saw It Coming: Why the Financial Crisis Took Economists by Surprise,” </w:t>
      </w:r>
      <w:r w:rsidRPr="000E7D9D">
        <w:rPr>
          <w:rFonts w:cs="Times New Roman"/>
          <w:i/>
          <w:iCs/>
          <w:sz w:val="18"/>
          <w:szCs w:val="18"/>
        </w:rPr>
        <w:t>Foreign Aff.</w:t>
      </w:r>
      <w:r w:rsidRPr="000E7D9D">
        <w:rPr>
          <w:rFonts w:cs="Times New Roman"/>
          <w:sz w:val="18"/>
          <w:szCs w:val="18"/>
        </w:rPr>
        <w:t>, vol. 92, no. 6, pp. 88–96, 2013</w:t>
      </w:r>
      <w:r w:rsidR="008E4E62" w:rsidRPr="008E4E62">
        <w:rPr>
          <w:sz w:val="18"/>
          <w:szCs w:val="18"/>
        </w:rPr>
        <w:t>.</w:t>
      </w:r>
      <w:bookmarkEnd w:id="7"/>
    </w:p>
    <w:p w14:paraId="79EEFD92" w14:textId="5958A939" w:rsidR="00E60D5A" w:rsidRDefault="000B6483" w:rsidP="00E427EF">
      <w:pPr>
        <w:pStyle w:val="ListParagraph"/>
        <w:numPr>
          <w:ilvl w:val="0"/>
          <w:numId w:val="10"/>
        </w:numPr>
        <w:spacing w:after="120"/>
        <w:contextualSpacing w:val="0"/>
        <w:jc w:val="both"/>
        <w:rPr>
          <w:sz w:val="18"/>
          <w:szCs w:val="18"/>
        </w:rPr>
      </w:pPr>
      <w:bookmarkStart w:id="8" w:name="_Ref512154302"/>
      <w:r w:rsidRPr="000E7D9D">
        <w:rPr>
          <w:rFonts w:cs="Times New Roman"/>
          <w:sz w:val="18"/>
          <w:szCs w:val="18"/>
        </w:rPr>
        <w:t xml:space="preserve">Deposit Insurance Corporation, “Failures and Assistance Transactions - Historical Statistics on Banking,” 2017. [Online]. Available: </w:t>
      </w:r>
      <w:r w:rsidRPr="00677475">
        <w:rPr>
          <w:rFonts w:cs="Times New Roman"/>
          <w:sz w:val="18"/>
          <w:szCs w:val="18"/>
        </w:rPr>
        <w:t>https://www5.fdic.gov/</w:t>
      </w:r>
      <w:r>
        <w:rPr>
          <w:rFonts w:cs="Times New Roman"/>
          <w:sz w:val="18"/>
          <w:szCs w:val="18"/>
        </w:rPr>
        <w:t xml:space="preserve"> </w:t>
      </w:r>
      <w:r w:rsidRPr="000E7D9D">
        <w:rPr>
          <w:rFonts w:cs="Times New Roman"/>
          <w:sz w:val="18"/>
          <w:szCs w:val="18"/>
        </w:rPr>
        <w:t>hsob/SelectRpt.asp?EntryTyp=30&amp;Header=1&amp;tab=bankFailures</w:t>
      </w:r>
      <w:bookmarkEnd w:id="8"/>
      <w:r w:rsidR="00015BD4">
        <w:rPr>
          <w:sz w:val="18"/>
          <w:szCs w:val="18"/>
        </w:rPr>
        <w:t>.</w:t>
      </w:r>
    </w:p>
    <w:p w14:paraId="6082B33D" w14:textId="533A5959" w:rsidR="009E1889" w:rsidRPr="009E1889" w:rsidRDefault="00DA0A39" w:rsidP="009E1889">
      <w:pPr>
        <w:pStyle w:val="ListParagraph"/>
        <w:numPr>
          <w:ilvl w:val="0"/>
          <w:numId w:val="10"/>
        </w:numPr>
        <w:spacing w:after="120"/>
        <w:contextualSpacing w:val="0"/>
        <w:jc w:val="both"/>
        <w:rPr>
          <w:sz w:val="18"/>
          <w:szCs w:val="18"/>
        </w:rPr>
      </w:pPr>
      <w:bookmarkStart w:id="9" w:name="_Ref512208640"/>
      <w:r w:rsidRPr="000E7D9D">
        <w:rPr>
          <w:rFonts w:cs="Times New Roman"/>
          <w:sz w:val="18"/>
          <w:szCs w:val="18"/>
        </w:rPr>
        <w:t xml:space="preserve">Financial Crisis Inquiry Commission, </w:t>
      </w:r>
      <w:r w:rsidRPr="000E7D9D">
        <w:rPr>
          <w:rFonts w:cs="Times New Roman"/>
          <w:i/>
          <w:iCs/>
          <w:sz w:val="18"/>
          <w:szCs w:val="18"/>
        </w:rPr>
        <w:t xml:space="preserve">The Financial Crisis Inquiry </w:t>
      </w:r>
      <w:r w:rsidR="00677475" w:rsidRPr="000E7D9D">
        <w:rPr>
          <w:rFonts w:cs="Times New Roman"/>
          <w:i/>
          <w:iCs/>
          <w:sz w:val="18"/>
          <w:szCs w:val="18"/>
        </w:rPr>
        <w:t>Report:</w:t>
      </w:r>
      <w:r w:rsidRPr="000E7D9D">
        <w:rPr>
          <w:rFonts w:cs="Times New Roman"/>
          <w:i/>
          <w:iCs/>
          <w:sz w:val="18"/>
          <w:szCs w:val="18"/>
        </w:rPr>
        <w:t xml:space="preserve"> Final Report of the National Commission on the Causes of the Financial and Economic Crisis in the United States</w:t>
      </w:r>
      <w:r w:rsidRPr="000E7D9D">
        <w:rPr>
          <w:rFonts w:cs="Times New Roman"/>
          <w:sz w:val="18"/>
          <w:szCs w:val="18"/>
        </w:rPr>
        <w:t>. Washington, DC, USA: U.S. Government Printing Office, 2011</w:t>
      </w:r>
      <w:r w:rsidR="009E1889" w:rsidRPr="00386293">
        <w:rPr>
          <w:sz w:val="18"/>
          <w:szCs w:val="18"/>
        </w:rPr>
        <w:t>.</w:t>
      </w:r>
      <w:bookmarkEnd w:id="9"/>
    </w:p>
    <w:p w14:paraId="112305E7" w14:textId="657FBB65" w:rsidR="00186D76" w:rsidRPr="00E427EF" w:rsidRDefault="007360D2" w:rsidP="00E427EF">
      <w:pPr>
        <w:pStyle w:val="ListParagraph"/>
        <w:numPr>
          <w:ilvl w:val="0"/>
          <w:numId w:val="10"/>
        </w:numPr>
        <w:spacing w:after="120"/>
        <w:contextualSpacing w:val="0"/>
        <w:jc w:val="both"/>
        <w:rPr>
          <w:sz w:val="18"/>
          <w:szCs w:val="18"/>
        </w:rPr>
      </w:pPr>
      <w:bookmarkStart w:id="10" w:name="_Ref512208744"/>
      <w:r w:rsidRPr="000E7D9D">
        <w:rPr>
          <w:rFonts w:cs="Times New Roman"/>
          <w:sz w:val="18"/>
          <w:szCs w:val="18"/>
        </w:rPr>
        <w:t xml:space="preserve">B. E. Erdogan, “Prediction of Bankruptcy Using Support Vector Machines: An Application to Bank Bankruptcy,” </w:t>
      </w:r>
      <w:r w:rsidRPr="000E7D9D">
        <w:rPr>
          <w:rFonts w:cs="Times New Roman"/>
          <w:i/>
          <w:iCs/>
          <w:sz w:val="18"/>
          <w:szCs w:val="18"/>
        </w:rPr>
        <w:t>J. Stat. Comput. Simul.</w:t>
      </w:r>
      <w:r w:rsidRPr="000E7D9D">
        <w:rPr>
          <w:rFonts w:cs="Times New Roman"/>
          <w:sz w:val="18"/>
          <w:szCs w:val="18"/>
        </w:rPr>
        <w:t>, vol. 83, no. 8, pp. 1543–1555, 2013</w:t>
      </w:r>
      <w:r w:rsidR="00E61581" w:rsidRPr="00E427EF">
        <w:rPr>
          <w:sz w:val="18"/>
          <w:szCs w:val="18"/>
        </w:rPr>
        <w:t>.</w:t>
      </w:r>
      <w:bookmarkEnd w:id="10"/>
      <w:r w:rsidR="00015B78" w:rsidRPr="00E427EF">
        <w:rPr>
          <w:sz w:val="18"/>
          <w:szCs w:val="18"/>
        </w:rPr>
        <w:t xml:space="preserve"> </w:t>
      </w:r>
    </w:p>
    <w:p w14:paraId="07A62120" w14:textId="27289F29" w:rsidR="00186D76" w:rsidRPr="00E427EF" w:rsidRDefault="00E3249C" w:rsidP="00E427EF">
      <w:pPr>
        <w:pStyle w:val="ListParagraph"/>
        <w:numPr>
          <w:ilvl w:val="0"/>
          <w:numId w:val="10"/>
        </w:numPr>
        <w:spacing w:after="120"/>
        <w:contextualSpacing w:val="0"/>
        <w:jc w:val="both"/>
        <w:rPr>
          <w:sz w:val="18"/>
          <w:szCs w:val="18"/>
        </w:rPr>
      </w:pPr>
      <w:bookmarkStart w:id="11" w:name="_Ref512208764"/>
      <w:r w:rsidRPr="000E7D9D">
        <w:rPr>
          <w:rFonts w:cs="Times New Roman"/>
          <w:sz w:val="18"/>
          <w:szCs w:val="18"/>
        </w:rPr>
        <w:t xml:space="preserve">M. A. Boyacioglu, Y. Kara, and Ö. K. Baykan, “Predicting Bank Financial Failures Using Neural Networks, Support Vector Machines and Multivariate Statistical Methods: A Comparative Analysis in the Sample of Savings Deposit Insurance Fund (SDIF) </w:t>
      </w:r>
      <w:r w:rsidRPr="000E7D9D">
        <w:rPr>
          <w:rFonts w:cs="Times New Roman"/>
          <w:sz w:val="18"/>
          <w:szCs w:val="18"/>
        </w:rPr>
        <w:t xml:space="preserve">Transferred Banks in Turkey,” </w:t>
      </w:r>
      <w:r w:rsidRPr="000E7D9D">
        <w:rPr>
          <w:rFonts w:cs="Times New Roman"/>
          <w:i/>
          <w:iCs/>
          <w:sz w:val="18"/>
          <w:szCs w:val="18"/>
        </w:rPr>
        <w:t>Expert Syst. Appl.</w:t>
      </w:r>
      <w:r w:rsidRPr="000E7D9D">
        <w:rPr>
          <w:rFonts w:cs="Times New Roman"/>
          <w:sz w:val="18"/>
          <w:szCs w:val="18"/>
        </w:rPr>
        <w:t>, vol. 36, no. 2, pp. 3355–3366, 2009</w:t>
      </w:r>
      <w:r w:rsidR="008B7A58" w:rsidRPr="00E427EF">
        <w:rPr>
          <w:sz w:val="18"/>
          <w:szCs w:val="18"/>
        </w:rPr>
        <w:t>.</w:t>
      </w:r>
      <w:bookmarkEnd w:id="11"/>
    </w:p>
    <w:p w14:paraId="0B517091" w14:textId="44047DB5" w:rsidR="00015B78" w:rsidRPr="00E427EF" w:rsidRDefault="007D0117" w:rsidP="00E427EF">
      <w:pPr>
        <w:pStyle w:val="ListParagraph"/>
        <w:numPr>
          <w:ilvl w:val="0"/>
          <w:numId w:val="10"/>
        </w:numPr>
        <w:spacing w:after="120"/>
        <w:contextualSpacing w:val="0"/>
        <w:jc w:val="both"/>
        <w:rPr>
          <w:sz w:val="18"/>
          <w:szCs w:val="18"/>
        </w:rPr>
      </w:pPr>
      <w:bookmarkStart w:id="12" w:name="_Ref512208725"/>
      <w:r w:rsidRPr="000E7D9D">
        <w:rPr>
          <w:rFonts w:cs="Times New Roman"/>
          <w:sz w:val="18"/>
          <w:szCs w:val="18"/>
        </w:rPr>
        <w:t xml:space="preserve">C. Zheng, A. Cheung, and T. Cronje, “Bank Liquidity, Bank Failure Risk and Bank Size,” </w:t>
      </w:r>
      <w:r w:rsidR="0038562E" w:rsidRPr="0038562E">
        <w:rPr>
          <w:rFonts w:cs="Times New Roman"/>
          <w:i/>
          <w:sz w:val="18"/>
          <w:szCs w:val="18"/>
        </w:rPr>
        <w:t>Proceedings of the</w:t>
      </w:r>
      <w:r w:rsidR="0038562E">
        <w:rPr>
          <w:rFonts w:cs="Times New Roman"/>
          <w:sz w:val="18"/>
          <w:szCs w:val="18"/>
        </w:rPr>
        <w:t xml:space="preserve"> </w:t>
      </w:r>
      <w:r w:rsidRPr="000E7D9D">
        <w:rPr>
          <w:rFonts w:cs="Times New Roman"/>
          <w:i/>
          <w:iCs/>
          <w:sz w:val="18"/>
          <w:szCs w:val="18"/>
        </w:rPr>
        <w:t>2016 ECU Business Doctoral and Emerging Scholars Colloquium</w:t>
      </w:r>
      <w:r w:rsidRPr="000E7D9D">
        <w:rPr>
          <w:rFonts w:cs="Times New Roman"/>
          <w:sz w:val="18"/>
          <w:szCs w:val="18"/>
        </w:rPr>
        <w:t xml:space="preserve"> 2016, pp. </w:t>
      </w:r>
      <w:r w:rsidR="004E0E1E">
        <w:rPr>
          <w:rFonts w:cs="Times New Roman"/>
          <w:sz w:val="18"/>
          <w:szCs w:val="18"/>
        </w:rPr>
        <w:t>38-47</w:t>
      </w:r>
      <w:r>
        <w:rPr>
          <w:rFonts w:cs="Times New Roman"/>
          <w:sz w:val="18"/>
          <w:szCs w:val="18"/>
        </w:rPr>
        <w:t>, 2016</w:t>
      </w:r>
      <w:r w:rsidR="008B7A58" w:rsidRPr="00E427EF">
        <w:rPr>
          <w:sz w:val="18"/>
          <w:szCs w:val="18"/>
        </w:rPr>
        <w:t>.</w:t>
      </w:r>
      <w:bookmarkEnd w:id="12"/>
    </w:p>
    <w:p w14:paraId="4E581708" w14:textId="6880A30F" w:rsidR="009A7574" w:rsidRDefault="00715B1E" w:rsidP="00E427EF">
      <w:pPr>
        <w:pStyle w:val="ListParagraph"/>
        <w:numPr>
          <w:ilvl w:val="0"/>
          <w:numId w:val="10"/>
        </w:numPr>
        <w:spacing w:after="120"/>
        <w:contextualSpacing w:val="0"/>
        <w:jc w:val="both"/>
        <w:rPr>
          <w:sz w:val="18"/>
          <w:szCs w:val="18"/>
        </w:rPr>
      </w:pPr>
      <w:bookmarkStart w:id="13" w:name="_Ref512208728"/>
      <w:r w:rsidRPr="000E7D9D">
        <w:rPr>
          <w:rFonts w:cs="Times New Roman"/>
          <w:sz w:val="18"/>
          <w:szCs w:val="18"/>
        </w:rPr>
        <w:t xml:space="preserve">B. E. Erdogan, “Bankruptcy Prediction of Turkish Commercial Banks Using Financial Ratios,” </w:t>
      </w:r>
      <w:r w:rsidRPr="000E7D9D">
        <w:rPr>
          <w:rFonts w:cs="Times New Roman"/>
          <w:i/>
          <w:iCs/>
          <w:sz w:val="18"/>
          <w:szCs w:val="18"/>
        </w:rPr>
        <w:t>Appl. Math. Sci.</w:t>
      </w:r>
      <w:r w:rsidRPr="000E7D9D">
        <w:rPr>
          <w:rFonts w:cs="Times New Roman"/>
          <w:sz w:val="18"/>
          <w:szCs w:val="18"/>
        </w:rPr>
        <w:t>, vol. 2, no. 60, pp. 2973–2982, 2008</w:t>
      </w:r>
      <w:r w:rsidR="009A7574" w:rsidRPr="00E427EF">
        <w:rPr>
          <w:sz w:val="18"/>
          <w:szCs w:val="18"/>
        </w:rPr>
        <w:t>.</w:t>
      </w:r>
      <w:bookmarkEnd w:id="13"/>
    </w:p>
    <w:p w14:paraId="24787C21" w14:textId="2244AF02" w:rsidR="00B75287" w:rsidRDefault="003F4A15" w:rsidP="0063195D">
      <w:pPr>
        <w:pStyle w:val="ListParagraph"/>
        <w:numPr>
          <w:ilvl w:val="0"/>
          <w:numId w:val="10"/>
        </w:numPr>
        <w:spacing w:after="120"/>
        <w:contextualSpacing w:val="0"/>
        <w:jc w:val="both"/>
        <w:rPr>
          <w:sz w:val="18"/>
          <w:szCs w:val="18"/>
        </w:rPr>
      </w:pPr>
      <w:bookmarkStart w:id="14" w:name="_Ref512210662"/>
      <w:r w:rsidRPr="000E7D9D">
        <w:rPr>
          <w:rFonts w:cs="Times New Roman"/>
          <w:sz w:val="18"/>
          <w:szCs w:val="18"/>
        </w:rPr>
        <w:t xml:space="preserve">Y. LeCun, Y. Bengio, and G. Hinton, “Deep Learning,” </w:t>
      </w:r>
      <w:r w:rsidRPr="000E7D9D">
        <w:rPr>
          <w:rFonts w:cs="Times New Roman"/>
          <w:i/>
          <w:iCs/>
          <w:sz w:val="18"/>
          <w:szCs w:val="18"/>
        </w:rPr>
        <w:t>Nature</w:t>
      </w:r>
      <w:r w:rsidRPr="000E7D9D">
        <w:rPr>
          <w:rFonts w:cs="Times New Roman"/>
          <w:sz w:val="18"/>
          <w:szCs w:val="18"/>
        </w:rPr>
        <w:t>, vol. 521, no. 7553, p. 436</w:t>
      </w:r>
      <w:r w:rsidR="004E0E1E">
        <w:rPr>
          <w:rFonts w:cs="Times New Roman"/>
          <w:sz w:val="18"/>
          <w:szCs w:val="18"/>
        </w:rPr>
        <w:t>-444</w:t>
      </w:r>
      <w:r w:rsidRPr="000E7D9D">
        <w:rPr>
          <w:rFonts w:cs="Times New Roman"/>
          <w:sz w:val="18"/>
          <w:szCs w:val="18"/>
        </w:rPr>
        <w:t>, 2018</w:t>
      </w:r>
      <w:r w:rsidR="0063195D" w:rsidRPr="0063195D">
        <w:rPr>
          <w:sz w:val="18"/>
          <w:szCs w:val="18"/>
        </w:rPr>
        <w:t>.</w:t>
      </w:r>
      <w:bookmarkEnd w:id="14"/>
    </w:p>
    <w:p w14:paraId="3FFA9719" w14:textId="4E590704" w:rsidR="00F45F6D" w:rsidRDefault="00F45F6D" w:rsidP="0063195D">
      <w:pPr>
        <w:pStyle w:val="ListParagraph"/>
        <w:numPr>
          <w:ilvl w:val="0"/>
          <w:numId w:val="10"/>
        </w:numPr>
        <w:spacing w:after="120"/>
        <w:contextualSpacing w:val="0"/>
        <w:jc w:val="both"/>
        <w:rPr>
          <w:sz w:val="18"/>
          <w:szCs w:val="18"/>
        </w:rPr>
      </w:pPr>
      <w:bookmarkStart w:id="15" w:name="_Ref513798495"/>
      <w:r>
        <w:rPr>
          <w:rFonts w:cs="Times New Roman"/>
          <w:sz w:val="18"/>
          <w:szCs w:val="18"/>
        </w:rPr>
        <w:t xml:space="preserve">S. Lopez, </w:t>
      </w:r>
      <w:r w:rsidRPr="00677475">
        <w:rPr>
          <w:rFonts w:cs="Times New Roman"/>
          <w:i/>
          <w:sz w:val="18"/>
          <w:szCs w:val="18"/>
        </w:rPr>
        <w:t>Automated Identification of Abnormal Adult Electroencephalograms</w:t>
      </w:r>
      <w:r>
        <w:rPr>
          <w:rFonts w:cs="Times New Roman"/>
          <w:sz w:val="18"/>
          <w:szCs w:val="18"/>
        </w:rPr>
        <w:t>,</w:t>
      </w:r>
      <w:r w:rsidRPr="000E7D9D">
        <w:rPr>
          <w:rFonts w:cs="Times New Roman"/>
          <w:sz w:val="18"/>
          <w:szCs w:val="18"/>
        </w:rPr>
        <w:t xml:space="preserve"> Temple University, 2017</w:t>
      </w:r>
      <w:r>
        <w:rPr>
          <w:rFonts w:cs="Times New Roman"/>
          <w:sz w:val="18"/>
          <w:szCs w:val="18"/>
        </w:rPr>
        <w:t>.</w:t>
      </w:r>
      <w:bookmarkEnd w:id="15"/>
    </w:p>
    <w:p w14:paraId="2A47871A" w14:textId="7051A7A4" w:rsidR="00C10A9A" w:rsidRPr="00F45F6D" w:rsidRDefault="005662FC" w:rsidP="00F45F6D">
      <w:pPr>
        <w:pStyle w:val="ListParagraph"/>
        <w:numPr>
          <w:ilvl w:val="0"/>
          <w:numId w:val="10"/>
        </w:numPr>
        <w:spacing w:after="120"/>
        <w:contextualSpacing w:val="0"/>
        <w:jc w:val="both"/>
        <w:rPr>
          <w:sz w:val="18"/>
          <w:szCs w:val="18"/>
        </w:rPr>
      </w:pPr>
      <w:bookmarkStart w:id="16" w:name="_Ref512209079"/>
      <w:r w:rsidRPr="000E7D9D">
        <w:rPr>
          <w:rFonts w:cs="Times New Roman"/>
          <w:sz w:val="18"/>
          <w:szCs w:val="18"/>
        </w:rPr>
        <w:t>S. Lopez, G. Suarez, D. Jungre</w:t>
      </w:r>
      <w:r>
        <w:rPr>
          <w:rFonts w:cs="Times New Roman"/>
          <w:sz w:val="18"/>
          <w:szCs w:val="18"/>
        </w:rPr>
        <w:t>i</w:t>
      </w:r>
      <w:r w:rsidRPr="000E7D9D">
        <w:rPr>
          <w:rFonts w:cs="Times New Roman"/>
          <w:sz w:val="18"/>
          <w:szCs w:val="18"/>
        </w:rPr>
        <w:t xml:space="preserve">s, I. Obeid, and J. Picone, “Automated Identification of Abnormal EEGs,” </w:t>
      </w:r>
      <w:r w:rsidR="00677475" w:rsidRPr="00677475">
        <w:rPr>
          <w:rFonts w:cs="Times New Roman"/>
          <w:i/>
          <w:sz w:val="18"/>
          <w:szCs w:val="18"/>
        </w:rPr>
        <w:t xml:space="preserve">Proceedings of the </w:t>
      </w:r>
      <w:r w:rsidRPr="000E7D9D">
        <w:rPr>
          <w:rFonts w:cs="Times New Roman"/>
          <w:i/>
          <w:iCs/>
          <w:sz w:val="18"/>
          <w:szCs w:val="18"/>
        </w:rPr>
        <w:t>IEEE Signal Processing in Medicine and Biology Symposium</w:t>
      </w:r>
      <w:r w:rsidRPr="000E7D9D">
        <w:rPr>
          <w:rFonts w:cs="Times New Roman"/>
          <w:sz w:val="18"/>
          <w:szCs w:val="18"/>
        </w:rPr>
        <w:t>, 2015, pp. 1–4</w:t>
      </w:r>
      <w:r w:rsidR="008B7A58" w:rsidRPr="00E427EF">
        <w:rPr>
          <w:sz w:val="18"/>
          <w:szCs w:val="18"/>
        </w:rPr>
        <w:t>.</w:t>
      </w:r>
      <w:bookmarkEnd w:id="16"/>
    </w:p>
    <w:p w14:paraId="1516B17C" w14:textId="0BA00139" w:rsidR="00C12FA5" w:rsidRPr="00E427EF" w:rsidRDefault="0015692A" w:rsidP="00E427EF">
      <w:pPr>
        <w:pStyle w:val="ListParagraph"/>
        <w:numPr>
          <w:ilvl w:val="0"/>
          <w:numId w:val="10"/>
        </w:numPr>
        <w:spacing w:after="120"/>
        <w:contextualSpacing w:val="0"/>
        <w:jc w:val="both"/>
        <w:rPr>
          <w:sz w:val="18"/>
          <w:szCs w:val="18"/>
        </w:rPr>
      </w:pPr>
      <w:bookmarkStart w:id="17" w:name="_Ref512209124"/>
      <w:r w:rsidRPr="000E7D9D">
        <w:rPr>
          <w:rFonts w:cs="Times New Roman"/>
          <w:sz w:val="18"/>
          <w:szCs w:val="18"/>
        </w:rPr>
        <w:t xml:space="preserve">W. Bao, J. Yue, and Y. Rao, “A Deep Learning Framework for Financial Time Series Using Stacked Autoencoders and Long Short-Term Memory,” </w:t>
      </w:r>
      <w:r w:rsidRPr="000E7D9D">
        <w:rPr>
          <w:rFonts w:cs="Times New Roman"/>
          <w:i/>
          <w:iCs/>
          <w:sz w:val="18"/>
          <w:szCs w:val="18"/>
        </w:rPr>
        <w:t>PLoS One</w:t>
      </w:r>
      <w:r w:rsidRPr="000E7D9D">
        <w:rPr>
          <w:rFonts w:cs="Times New Roman"/>
          <w:sz w:val="18"/>
          <w:szCs w:val="18"/>
        </w:rPr>
        <w:t>, vol. 12, no. 7, p</w:t>
      </w:r>
      <w:r w:rsidR="004E0E1E">
        <w:rPr>
          <w:rFonts w:cs="Times New Roman"/>
          <w:sz w:val="18"/>
          <w:szCs w:val="18"/>
        </w:rPr>
        <w:t>p</w:t>
      </w:r>
      <w:r w:rsidRPr="000E7D9D">
        <w:rPr>
          <w:rFonts w:cs="Times New Roman"/>
          <w:sz w:val="18"/>
          <w:szCs w:val="18"/>
        </w:rPr>
        <w:t>. 25</w:t>
      </w:r>
      <w:r w:rsidR="004E0E1E">
        <w:rPr>
          <w:rFonts w:cs="Times New Roman"/>
          <w:sz w:val="18"/>
          <w:szCs w:val="18"/>
        </w:rPr>
        <w:t>-48</w:t>
      </w:r>
      <w:r w:rsidRPr="000E7D9D">
        <w:rPr>
          <w:rFonts w:cs="Times New Roman"/>
          <w:sz w:val="18"/>
          <w:szCs w:val="18"/>
        </w:rPr>
        <w:t>, 2017</w:t>
      </w:r>
      <w:r w:rsidR="00ED0ABF" w:rsidRPr="00E427EF">
        <w:rPr>
          <w:sz w:val="18"/>
          <w:szCs w:val="18"/>
        </w:rPr>
        <w:t>.</w:t>
      </w:r>
      <w:bookmarkEnd w:id="17"/>
    </w:p>
    <w:p w14:paraId="22A3AF00" w14:textId="1B27DA20" w:rsidR="00C67406" w:rsidRDefault="0075145D" w:rsidP="0075145D">
      <w:pPr>
        <w:pStyle w:val="ListParagraph"/>
        <w:numPr>
          <w:ilvl w:val="0"/>
          <w:numId w:val="10"/>
        </w:numPr>
        <w:spacing w:after="120"/>
        <w:contextualSpacing w:val="0"/>
        <w:jc w:val="both"/>
        <w:rPr>
          <w:sz w:val="18"/>
          <w:szCs w:val="18"/>
        </w:rPr>
      </w:pPr>
      <w:bookmarkStart w:id="18" w:name="_Ref512209216"/>
      <w:r w:rsidRPr="0075145D">
        <w:rPr>
          <w:rFonts w:cs="Times New Roman"/>
          <w:sz w:val="18"/>
          <w:szCs w:val="18"/>
        </w:rPr>
        <w:t>P. M. Ad</w:t>
      </w:r>
      <w:r w:rsidR="00677475">
        <w:rPr>
          <w:rFonts w:cs="Times New Roman"/>
          <w:sz w:val="18"/>
          <w:szCs w:val="18"/>
        </w:rPr>
        <w:t>do, D. Guegan, and B. Hassani, “</w:t>
      </w:r>
      <w:r w:rsidRPr="0075145D">
        <w:rPr>
          <w:rFonts w:cs="Times New Roman"/>
          <w:sz w:val="18"/>
          <w:szCs w:val="18"/>
        </w:rPr>
        <w:t>Credit Risk Analysis Using Machine and Deep Learning Models,</w:t>
      </w:r>
      <w:r w:rsidR="00677475">
        <w:rPr>
          <w:rFonts w:cs="Times New Roman"/>
          <w:sz w:val="18"/>
          <w:szCs w:val="18"/>
        </w:rPr>
        <w:t>”</w:t>
      </w:r>
      <w:r w:rsidRPr="0075145D">
        <w:rPr>
          <w:rFonts w:cs="Times New Roman"/>
          <w:sz w:val="18"/>
          <w:szCs w:val="18"/>
        </w:rPr>
        <w:t xml:space="preserve"> </w:t>
      </w:r>
      <w:r w:rsidRPr="0075145D">
        <w:rPr>
          <w:rFonts w:cs="Times New Roman"/>
          <w:i/>
          <w:sz w:val="18"/>
          <w:szCs w:val="18"/>
        </w:rPr>
        <w:t>Risks</w:t>
      </w:r>
      <w:r w:rsidRPr="0075145D">
        <w:rPr>
          <w:rFonts w:cs="Times New Roman"/>
          <w:sz w:val="18"/>
          <w:szCs w:val="18"/>
        </w:rPr>
        <w:t>, vol. 6, no. 2, pp. 38-57, 2018.</w:t>
      </w:r>
      <w:bookmarkEnd w:id="18"/>
    </w:p>
    <w:p w14:paraId="7C7D5B61" w14:textId="59F4CB9B" w:rsidR="00ED0ABF" w:rsidRPr="00C67406" w:rsidRDefault="00E13BC5" w:rsidP="00E427EF">
      <w:pPr>
        <w:pStyle w:val="ListParagraph"/>
        <w:numPr>
          <w:ilvl w:val="0"/>
          <w:numId w:val="10"/>
        </w:numPr>
        <w:spacing w:after="120"/>
        <w:contextualSpacing w:val="0"/>
        <w:jc w:val="both"/>
        <w:rPr>
          <w:sz w:val="18"/>
          <w:szCs w:val="18"/>
        </w:rPr>
      </w:pPr>
      <w:bookmarkStart w:id="19" w:name="_Hlk513722214"/>
      <w:bookmarkStart w:id="20" w:name="_Ref512209274"/>
      <w:r w:rsidRPr="000E7D9D">
        <w:rPr>
          <w:rFonts w:cs="Times New Roman"/>
          <w:sz w:val="18"/>
          <w:szCs w:val="18"/>
        </w:rPr>
        <w:t xml:space="preserve">K. Tam, “Neural Network Models and the Prediction of Bank Bankruptcy,” </w:t>
      </w:r>
      <w:r w:rsidRPr="000E7D9D">
        <w:rPr>
          <w:rFonts w:cs="Times New Roman"/>
          <w:i/>
          <w:iCs/>
          <w:sz w:val="18"/>
          <w:szCs w:val="18"/>
        </w:rPr>
        <w:t>Omega</w:t>
      </w:r>
      <w:r w:rsidR="005233CD">
        <w:rPr>
          <w:rFonts w:cs="Times New Roman"/>
          <w:i/>
          <w:iCs/>
          <w:sz w:val="18"/>
          <w:szCs w:val="18"/>
        </w:rPr>
        <w:t xml:space="preserve"> Int. J. of Mgmt. Sci.</w:t>
      </w:r>
      <w:r w:rsidRPr="000E7D9D">
        <w:rPr>
          <w:rFonts w:cs="Times New Roman"/>
          <w:sz w:val="18"/>
          <w:szCs w:val="18"/>
        </w:rPr>
        <w:t>, vol. 19, no. 5, pp. 429–445, 1991</w:t>
      </w:r>
      <w:bookmarkEnd w:id="19"/>
      <w:r w:rsidR="00C51C7E" w:rsidRPr="00C67406">
        <w:rPr>
          <w:sz w:val="18"/>
          <w:szCs w:val="18"/>
        </w:rPr>
        <w:t>.</w:t>
      </w:r>
      <w:bookmarkEnd w:id="20"/>
    </w:p>
    <w:p w14:paraId="702783E8" w14:textId="758E59D8" w:rsidR="003A49EA" w:rsidRDefault="00343EFA" w:rsidP="00E427EF">
      <w:pPr>
        <w:pStyle w:val="ListParagraph"/>
        <w:numPr>
          <w:ilvl w:val="0"/>
          <w:numId w:val="10"/>
        </w:numPr>
        <w:spacing w:after="120"/>
        <w:contextualSpacing w:val="0"/>
        <w:jc w:val="both"/>
        <w:rPr>
          <w:sz w:val="18"/>
          <w:szCs w:val="18"/>
        </w:rPr>
      </w:pPr>
      <w:bookmarkStart w:id="21" w:name="_Ref512209277"/>
      <w:r w:rsidRPr="000E7D9D">
        <w:rPr>
          <w:rFonts w:cs="Times New Roman"/>
          <w:sz w:val="18"/>
          <w:szCs w:val="18"/>
        </w:rPr>
        <w:t xml:space="preserve">K. Tam and M. Kiang, “Managerial Applications of Neural Networks: The Case of Bank Failure Predictions,” </w:t>
      </w:r>
      <w:r w:rsidRPr="000E7D9D">
        <w:rPr>
          <w:rFonts w:cs="Times New Roman"/>
          <w:i/>
          <w:iCs/>
          <w:sz w:val="18"/>
          <w:szCs w:val="18"/>
        </w:rPr>
        <w:t>Manage. Sci.</w:t>
      </w:r>
      <w:r w:rsidRPr="000E7D9D">
        <w:rPr>
          <w:rFonts w:cs="Times New Roman"/>
          <w:sz w:val="18"/>
          <w:szCs w:val="18"/>
        </w:rPr>
        <w:t>, vol. 38, no. 7, pp. 926–947, 1992</w:t>
      </w:r>
      <w:r w:rsidR="009A7574" w:rsidRPr="00E427EF">
        <w:rPr>
          <w:sz w:val="18"/>
          <w:szCs w:val="18"/>
        </w:rPr>
        <w:t>.</w:t>
      </w:r>
      <w:bookmarkEnd w:id="21"/>
    </w:p>
    <w:p w14:paraId="29074B68" w14:textId="72224ED5" w:rsidR="005D6464" w:rsidRPr="005D6464" w:rsidRDefault="004F5A23" w:rsidP="005D6464">
      <w:pPr>
        <w:pStyle w:val="ListParagraph"/>
        <w:numPr>
          <w:ilvl w:val="0"/>
          <w:numId w:val="10"/>
        </w:numPr>
        <w:spacing w:after="120"/>
        <w:contextualSpacing w:val="0"/>
        <w:jc w:val="both"/>
        <w:rPr>
          <w:sz w:val="18"/>
          <w:szCs w:val="18"/>
        </w:rPr>
      </w:pPr>
      <w:bookmarkStart w:id="22" w:name="_Ref513117209"/>
      <w:r w:rsidRPr="000E7D9D">
        <w:rPr>
          <w:rFonts w:cs="Times New Roman"/>
          <w:sz w:val="18"/>
          <w:szCs w:val="18"/>
        </w:rPr>
        <w:t xml:space="preserve">“FDIC: Bankfind Glossary,” </w:t>
      </w:r>
      <w:r w:rsidRPr="000E7D9D">
        <w:rPr>
          <w:rFonts w:cs="Times New Roman"/>
          <w:i/>
          <w:iCs/>
          <w:sz w:val="18"/>
          <w:szCs w:val="18"/>
        </w:rPr>
        <w:t>Federal Deposit Insurance Corporation</w:t>
      </w:r>
      <w:r w:rsidRPr="000E7D9D">
        <w:rPr>
          <w:rFonts w:cs="Times New Roman"/>
          <w:sz w:val="18"/>
          <w:szCs w:val="18"/>
        </w:rPr>
        <w:t xml:space="preserve">, 2018. [Online]. Available: </w:t>
      </w:r>
      <w:r w:rsidRPr="00677475">
        <w:rPr>
          <w:rFonts w:cs="Times New Roman"/>
          <w:i/>
          <w:sz w:val="18"/>
          <w:szCs w:val="18"/>
        </w:rPr>
        <w:t>https://research.fdic.gov/bankfind/glossary.html</w:t>
      </w:r>
      <w:r w:rsidR="005D6464" w:rsidRPr="00EC4046">
        <w:rPr>
          <w:sz w:val="18"/>
          <w:szCs w:val="18"/>
        </w:rPr>
        <w:t>.</w:t>
      </w:r>
      <w:bookmarkEnd w:id="22"/>
    </w:p>
    <w:p w14:paraId="36FC5C3C" w14:textId="61FEDCB0" w:rsidR="004437FE" w:rsidRPr="00E427EF" w:rsidRDefault="00D3670A" w:rsidP="00E427EF">
      <w:pPr>
        <w:pStyle w:val="ListParagraph"/>
        <w:numPr>
          <w:ilvl w:val="0"/>
          <w:numId w:val="10"/>
        </w:numPr>
        <w:spacing w:after="120"/>
        <w:contextualSpacing w:val="0"/>
        <w:jc w:val="both"/>
        <w:rPr>
          <w:sz w:val="18"/>
          <w:szCs w:val="18"/>
        </w:rPr>
      </w:pPr>
      <w:bookmarkStart w:id="23" w:name="_Hlk513722505"/>
      <w:bookmarkStart w:id="24" w:name="_Ref513117620"/>
      <w:r w:rsidRPr="000E7D9D">
        <w:rPr>
          <w:rFonts w:cs="Times New Roman"/>
          <w:sz w:val="18"/>
          <w:szCs w:val="18"/>
        </w:rPr>
        <w:t>V. Shah, M. Golmohammadi, S. Ziyabari, E. von Weltin, I. Obeid, and J. Picone, “Optimizing Channel Selection for Seizure Detection,”</w:t>
      </w:r>
      <w:r w:rsidR="00677475">
        <w:rPr>
          <w:rFonts w:cs="Times New Roman"/>
          <w:sz w:val="18"/>
          <w:szCs w:val="18"/>
        </w:rPr>
        <w:t xml:space="preserve"> </w:t>
      </w:r>
      <w:r w:rsidRPr="000E7D9D">
        <w:rPr>
          <w:rFonts w:cs="Times New Roman"/>
          <w:i/>
          <w:iCs/>
          <w:sz w:val="18"/>
          <w:szCs w:val="18"/>
        </w:rPr>
        <w:t>Proceedings of the IEEE Signal Processing in Medicine and Biology Symposium</w:t>
      </w:r>
      <w:r w:rsidRPr="000E7D9D">
        <w:rPr>
          <w:rFonts w:cs="Times New Roman"/>
          <w:sz w:val="18"/>
          <w:szCs w:val="18"/>
        </w:rPr>
        <w:t>, 2017, pp. 1–5</w:t>
      </w:r>
      <w:bookmarkEnd w:id="23"/>
      <w:r w:rsidR="00E61581" w:rsidRPr="00E427EF">
        <w:rPr>
          <w:sz w:val="18"/>
          <w:szCs w:val="18"/>
        </w:rPr>
        <w:t>.</w:t>
      </w:r>
      <w:bookmarkEnd w:id="24"/>
    </w:p>
    <w:p w14:paraId="447BB0D0" w14:textId="6E435098" w:rsidR="005729B5" w:rsidRDefault="00D3670A" w:rsidP="005729B5">
      <w:pPr>
        <w:pStyle w:val="ListParagraph"/>
        <w:numPr>
          <w:ilvl w:val="0"/>
          <w:numId w:val="10"/>
        </w:numPr>
        <w:spacing w:after="120"/>
        <w:contextualSpacing w:val="0"/>
        <w:jc w:val="both"/>
        <w:rPr>
          <w:sz w:val="18"/>
          <w:szCs w:val="18"/>
        </w:rPr>
      </w:pPr>
      <w:bookmarkStart w:id="25" w:name="_Ref513117652"/>
      <w:r w:rsidRPr="000E7D9D">
        <w:rPr>
          <w:rFonts w:cs="Times New Roman"/>
          <w:sz w:val="18"/>
          <w:szCs w:val="18"/>
        </w:rPr>
        <w:t>M. Golmohammadi, S. Ziyabari, V. Shah, I. Obeid, and J. Picone, “Gated Recurrent Networks for Seizure Detection,”</w:t>
      </w:r>
      <w:r w:rsidR="00677475">
        <w:rPr>
          <w:rFonts w:cs="Times New Roman"/>
          <w:sz w:val="18"/>
          <w:szCs w:val="18"/>
        </w:rPr>
        <w:t xml:space="preserve"> </w:t>
      </w:r>
      <w:r w:rsidRPr="000E7D9D">
        <w:rPr>
          <w:rFonts w:cs="Times New Roman"/>
          <w:i/>
          <w:iCs/>
          <w:sz w:val="18"/>
          <w:szCs w:val="18"/>
        </w:rPr>
        <w:t>Proceedings of the IEEE Signal Processing in Medicine and Biology Symposium</w:t>
      </w:r>
      <w:r w:rsidRPr="000E7D9D">
        <w:rPr>
          <w:rFonts w:cs="Times New Roman"/>
          <w:sz w:val="18"/>
          <w:szCs w:val="18"/>
        </w:rPr>
        <w:t>, 2017, pp. 1–5</w:t>
      </w:r>
      <w:r w:rsidR="00E61581" w:rsidRPr="00E427EF">
        <w:rPr>
          <w:sz w:val="18"/>
          <w:szCs w:val="18"/>
        </w:rPr>
        <w:t>.</w:t>
      </w:r>
      <w:bookmarkEnd w:id="25"/>
    </w:p>
    <w:p w14:paraId="4DC9F003" w14:textId="686CFB05" w:rsidR="00C10A9A" w:rsidRPr="00C67406" w:rsidRDefault="008A14AC" w:rsidP="00901AED">
      <w:pPr>
        <w:pStyle w:val="ListParagraph"/>
        <w:numPr>
          <w:ilvl w:val="0"/>
          <w:numId w:val="10"/>
        </w:numPr>
        <w:spacing w:after="120"/>
        <w:contextualSpacing w:val="0"/>
        <w:jc w:val="both"/>
        <w:rPr>
          <w:sz w:val="18"/>
          <w:szCs w:val="18"/>
        </w:rPr>
      </w:pPr>
      <w:bookmarkStart w:id="26" w:name="_Ref513751636"/>
      <w:r w:rsidRPr="000E7D9D">
        <w:rPr>
          <w:rFonts w:cs="Times New Roman"/>
          <w:sz w:val="18"/>
          <w:szCs w:val="18"/>
        </w:rPr>
        <w:t xml:space="preserve">B. K. Beaulieu-Jones and J. H. Moore, “Missing Data Imputation in the Electronic Health Record Using Deeply Learned Autoencoders,” </w:t>
      </w:r>
      <w:r w:rsidR="00677475" w:rsidRPr="00677475">
        <w:rPr>
          <w:rFonts w:cs="Times New Roman"/>
          <w:i/>
          <w:sz w:val="18"/>
          <w:szCs w:val="18"/>
        </w:rPr>
        <w:t>Proceedings of the</w:t>
      </w:r>
      <w:r w:rsidR="00677475">
        <w:rPr>
          <w:rFonts w:cs="Times New Roman"/>
          <w:sz w:val="18"/>
          <w:szCs w:val="18"/>
        </w:rPr>
        <w:t xml:space="preserve"> </w:t>
      </w:r>
      <w:r w:rsidR="00677475" w:rsidRPr="00677475">
        <w:rPr>
          <w:rFonts w:cs="Times New Roman"/>
          <w:i/>
          <w:sz w:val="18"/>
          <w:szCs w:val="18"/>
        </w:rPr>
        <w:t>P</w:t>
      </w:r>
      <w:r w:rsidRPr="00677475">
        <w:rPr>
          <w:rFonts w:cs="Times New Roman"/>
          <w:i/>
          <w:iCs/>
          <w:sz w:val="18"/>
          <w:szCs w:val="18"/>
        </w:rPr>
        <w:t>acific</w:t>
      </w:r>
      <w:r w:rsidRPr="000E7D9D">
        <w:rPr>
          <w:rFonts w:cs="Times New Roman"/>
          <w:i/>
          <w:iCs/>
          <w:sz w:val="18"/>
          <w:szCs w:val="18"/>
        </w:rPr>
        <w:t xml:space="preserve"> Symposium on Biocomputing</w:t>
      </w:r>
      <w:r w:rsidRPr="000E7D9D">
        <w:rPr>
          <w:rFonts w:cs="Times New Roman"/>
          <w:sz w:val="18"/>
          <w:szCs w:val="18"/>
        </w:rPr>
        <w:t>, 2017, pp. 207–21</w:t>
      </w:r>
      <w:r w:rsidR="004E0E1E">
        <w:rPr>
          <w:rFonts w:cs="Times New Roman"/>
          <w:sz w:val="18"/>
          <w:szCs w:val="18"/>
        </w:rPr>
        <w:t>8</w:t>
      </w:r>
      <w:r w:rsidR="00901AED" w:rsidRPr="00901AED">
        <w:rPr>
          <w:sz w:val="18"/>
          <w:szCs w:val="18"/>
        </w:rPr>
        <w:t>.</w:t>
      </w:r>
      <w:bookmarkEnd w:id="26"/>
      <w:r w:rsidR="00BD58C4">
        <w:rPr>
          <w:sz w:val="18"/>
          <w:szCs w:val="18"/>
        </w:rPr>
        <w:t xml:space="preserve"> </w:t>
      </w:r>
    </w:p>
    <w:sectPr w:rsidR="00C10A9A" w:rsidRPr="00C67406" w:rsidSect="005B1AC3">
      <w:type w:val="continuous"/>
      <w:pgSz w:w="12240" w:h="15840" w:code="1"/>
      <w:pgMar w:top="1440" w:right="1440" w:bottom="1627" w:left="1440" w:header="720" w:footer="720" w:gutter="0"/>
      <w:cols w:num="2" w:space="461" w:equalWidth="0">
        <w:col w:w="4450" w:space="461"/>
        <w:col w:w="444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7471E" w14:textId="77777777" w:rsidR="007376CF" w:rsidRDefault="007376CF" w:rsidP="00A45044">
      <w:r>
        <w:separator/>
      </w:r>
    </w:p>
  </w:endnote>
  <w:endnote w:type="continuationSeparator" w:id="0">
    <w:p w14:paraId="1624CFF4" w14:textId="77777777" w:rsidR="007376CF" w:rsidRDefault="007376CF" w:rsidP="00A4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3916" w14:textId="77777777" w:rsidR="00C42EF5" w:rsidRDefault="00C42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3DFC" w14:textId="77777777" w:rsidR="00C42EF5" w:rsidRDefault="00C42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7038" w14:textId="77777777" w:rsidR="00C42EF5" w:rsidRDefault="00C42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6AC46" w14:textId="77777777" w:rsidR="007376CF" w:rsidRDefault="007376CF" w:rsidP="00A45044">
      <w:r>
        <w:separator/>
      </w:r>
    </w:p>
  </w:footnote>
  <w:footnote w:type="continuationSeparator" w:id="0">
    <w:p w14:paraId="53F67689" w14:textId="77777777" w:rsidR="007376CF" w:rsidRDefault="007376CF" w:rsidP="00A45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590B" w14:textId="77777777" w:rsidR="00C42EF5" w:rsidRDefault="00C42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CF9E" w14:textId="77777777" w:rsidR="00A45044" w:rsidRPr="00C71EBB" w:rsidRDefault="00A45044" w:rsidP="00A45044">
    <w:pPr>
      <w:widowControl w:val="0"/>
      <w:autoSpaceDE w:val="0"/>
      <w:autoSpaceDN w:val="0"/>
      <w:adjustRightInd w:val="0"/>
      <w:spacing w:after="240"/>
      <w:jc w:val="center"/>
      <w:rPr>
        <w:rFonts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4093" w14:textId="77777777" w:rsidR="00C42EF5" w:rsidRDefault="00C42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764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111B59"/>
    <w:multiLevelType w:val="hybridMultilevel"/>
    <w:tmpl w:val="B33EDCB4"/>
    <w:lvl w:ilvl="0" w:tplc="2AB6FCD4">
      <w:start w:val="1"/>
      <w:numFmt w:val="bullet"/>
      <w:lvlText w:val=""/>
      <w:lvlJc w:val="left"/>
      <w:pPr>
        <w:tabs>
          <w:tab w:val="num" w:pos="340"/>
        </w:tabs>
        <w:ind w:left="396" w:hanging="39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22C1E"/>
    <w:multiLevelType w:val="hybridMultilevel"/>
    <w:tmpl w:val="06E8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D48EB"/>
    <w:multiLevelType w:val="hybridMultilevel"/>
    <w:tmpl w:val="645A586E"/>
    <w:lvl w:ilvl="0" w:tplc="4A087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18E"/>
    <w:multiLevelType w:val="hybridMultilevel"/>
    <w:tmpl w:val="B378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F3344"/>
    <w:multiLevelType w:val="singleLevel"/>
    <w:tmpl w:val="DA9E86E8"/>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3905473F"/>
    <w:multiLevelType w:val="hybridMultilevel"/>
    <w:tmpl w:val="FDB6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D7FD1"/>
    <w:multiLevelType w:val="hybridMultilevel"/>
    <w:tmpl w:val="E0A0D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70912"/>
    <w:multiLevelType w:val="hybridMultilevel"/>
    <w:tmpl w:val="42C4DBC4"/>
    <w:lvl w:ilvl="0" w:tplc="CE541B2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03E9C"/>
    <w:multiLevelType w:val="hybridMultilevel"/>
    <w:tmpl w:val="6EE2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82B32"/>
    <w:multiLevelType w:val="hybridMultilevel"/>
    <w:tmpl w:val="C460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80718"/>
    <w:multiLevelType w:val="multilevel"/>
    <w:tmpl w:val="B33EDCB4"/>
    <w:lvl w:ilvl="0">
      <w:start w:val="1"/>
      <w:numFmt w:val="bullet"/>
      <w:lvlText w:val=""/>
      <w:lvlJc w:val="left"/>
      <w:pPr>
        <w:tabs>
          <w:tab w:val="num" w:pos="340"/>
        </w:tabs>
        <w:ind w:left="396" w:hanging="396"/>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1"/>
  </w:num>
  <w:num w:numId="4">
    <w:abstractNumId w:val="8"/>
  </w:num>
  <w:num w:numId="5">
    <w:abstractNumId w:val="6"/>
  </w:num>
  <w:num w:numId="6">
    <w:abstractNumId w:val="7"/>
  </w:num>
  <w:num w:numId="7">
    <w:abstractNumId w:val="10"/>
  </w:num>
  <w:num w:numId="8">
    <w:abstractNumId w:val="2"/>
  </w:num>
  <w:num w:numId="9">
    <w:abstractNumId w:val="0"/>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70"/>
    <w:rsid w:val="000011E5"/>
    <w:rsid w:val="00003313"/>
    <w:rsid w:val="00010376"/>
    <w:rsid w:val="0001432E"/>
    <w:rsid w:val="00015B78"/>
    <w:rsid w:val="00015BD4"/>
    <w:rsid w:val="0002143A"/>
    <w:rsid w:val="00023E6B"/>
    <w:rsid w:val="000249DC"/>
    <w:rsid w:val="00035C36"/>
    <w:rsid w:val="00036B7A"/>
    <w:rsid w:val="000579D6"/>
    <w:rsid w:val="000619F7"/>
    <w:rsid w:val="000660B7"/>
    <w:rsid w:val="000735F1"/>
    <w:rsid w:val="000908DE"/>
    <w:rsid w:val="0009573E"/>
    <w:rsid w:val="000A2712"/>
    <w:rsid w:val="000A35C1"/>
    <w:rsid w:val="000A47EC"/>
    <w:rsid w:val="000B041C"/>
    <w:rsid w:val="000B6483"/>
    <w:rsid w:val="000B7F78"/>
    <w:rsid w:val="000D7D2D"/>
    <w:rsid w:val="000E17D2"/>
    <w:rsid w:val="000F11A6"/>
    <w:rsid w:val="000F19A6"/>
    <w:rsid w:val="000F208D"/>
    <w:rsid w:val="000F67E7"/>
    <w:rsid w:val="00106518"/>
    <w:rsid w:val="00122906"/>
    <w:rsid w:val="0013097F"/>
    <w:rsid w:val="00132920"/>
    <w:rsid w:val="0014014B"/>
    <w:rsid w:val="0014592F"/>
    <w:rsid w:val="00151EB7"/>
    <w:rsid w:val="001525ED"/>
    <w:rsid w:val="001534BD"/>
    <w:rsid w:val="0015692A"/>
    <w:rsid w:val="00161256"/>
    <w:rsid w:val="00161CCC"/>
    <w:rsid w:val="00164BEE"/>
    <w:rsid w:val="001713AE"/>
    <w:rsid w:val="001774C7"/>
    <w:rsid w:val="00186D76"/>
    <w:rsid w:val="00190108"/>
    <w:rsid w:val="00196785"/>
    <w:rsid w:val="001967D7"/>
    <w:rsid w:val="001A3E74"/>
    <w:rsid w:val="001B160B"/>
    <w:rsid w:val="001B4A56"/>
    <w:rsid w:val="001D479F"/>
    <w:rsid w:val="001E0963"/>
    <w:rsid w:val="001E15FD"/>
    <w:rsid w:val="001E273F"/>
    <w:rsid w:val="001E70A0"/>
    <w:rsid w:val="001F08F2"/>
    <w:rsid w:val="001F6C33"/>
    <w:rsid w:val="00200EFC"/>
    <w:rsid w:val="002109FC"/>
    <w:rsid w:val="0021472B"/>
    <w:rsid w:val="00214B97"/>
    <w:rsid w:val="00222B78"/>
    <w:rsid w:val="0022516C"/>
    <w:rsid w:val="002256BF"/>
    <w:rsid w:val="00225D26"/>
    <w:rsid w:val="00230C25"/>
    <w:rsid w:val="00237BD7"/>
    <w:rsid w:val="002417C0"/>
    <w:rsid w:val="0025249E"/>
    <w:rsid w:val="0026233D"/>
    <w:rsid w:val="00262EB1"/>
    <w:rsid w:val="002678B0"/>
    <w:rsid w:val="00267ABC"/>
    <w:rsid w:val="00271736"/>
    <w:rsid w:val="00271FFD"/>
    <w:rsid w:val="00272859"/>
    <w:rsid w:val="00275DC8"/>
    <w:rsid w:val="00290163"/>
    <w:rsid w:val="00293008"/>
    <w:rsid w:val="0029464F"/>
    <w:rsid w:val="002A1CA8"/>
    <w:rsid w:val="002B44B0"/>
    <w:rsid w:val="002C033C"/>
    <w:rsid w:val="002C7CB1"/>
    <w:rsid w:val="002F7EFC"/>
    <w:rsid w:val="00300D44"/>
    <w:rsid w:val="0030390A"/>
    <w:rsid w:val="003101A6"/>
    <w:rsid w:val="00311318"/>
    <w:rsid w:val="003260AA"/>
    <w:rsid w:val="00327E24"/>
    <w:rsid w:val="003372EA"/>
    <w:rsid w:val="00342780"/>
    <w:rsid w:val="00343563"/>
    <w:rsid w:val="00343EFA"/>
    <w:rsid w:val="003625BC"/>
    <w:rsid w:val="003730FE"/>
    <w:rsid w:val="0038562E"/>
    <w:rsid w:val="00386293"/>
    <w:rsid w:val="003865BC"/>
    <w:rsid w:val="00386C82"/>
    <w:rsid w:val="003A49EA"/>
    <w:rsid w:val="003A625B"/>
    <w:rsid w:val="003A68BF"/>
    <w:rsid w:val="003B20F5"/>
    <w:rsid w:val="003B4DAD"/>
    <w:rsid w:val="003B4E1B"/>
    <w:rsid w:val="003B733B"/>
    <w:rsid w:val="003C1AE6"/>
    <w:rsid w:val="003C2511"/>
    <w:rsid w:val="003D08A7"/>
    <w:rsid w:val="003E2D42"/>
    <w:rsid w:val="003E3E63"/>
    <w:rsid w:val="003F2D59"/>
    <w:rsid w:val="003F4A15"/>
    <w:rsid w:val="003F61C0"/>
    <w:rsid w:val="003F7038"/>
    <w:rsid w:val="003F75B8"/>
    <w:rsid w:val="00404D85"/>
    <w:rsid w:val="00421537"/>
    <w:rsid w:val="004308E5"/>
    <w:rsid w:val="00431BBC"/>
    <w:rsid w:val="00437289"/>
    <w:rsid w:val="004437FE"/>
    <w:rsid w:val="004629B2"/>
    <w:rsid w:val="00467039"/>
    <w:rsid w:val="00475CFB"/>
    <w:rsid w:val="004832FC"/>
    <w:rsid w:val="0048778C"/>
    <w:rsid w:val="00491AE1"/>
    <w:rsid w:val="00493291"/>
    <w:rsid w:val="004A2853"/>
    <w:rsid w:val="004A56F4"/>
    <w:rsid w:val="004B2891"/>
    <w:rsid w:val="004B5580"/>
    <w:rsid w:val="004C1441"/>
    <w:rsid w:val="004C66E9"/>
    <w:rsid w:val="004D6F6E"/>
    <w:rsid w:val="004E0E1E"/>
    <w:rsid w:val="004E34E6"/>
    <w:rsid w:val="004F0532"/>
    <w:rsid w:val="004F5A23"/>
    <w:rsid w:val="0050461F"/>
    <w:rsid w:val="00515737"/>
    <w:rsid w:val="00515997"/>
    <w:rsid w:val="00520042"/>
    <w:rsid w:val="005233CD"/>
    <w:rsid w:val="0052497C"/>
    <w:rsid w:val="00530DDA"/>
    <w:rsid w:val="005362C9"/>
    <w:rsid w:val="00536B95"/>
    <w:rsid w:val="00552F9B"/>
    <w:rsid w:val="005575A4"/>
    <w:rsid w:val="00557A5D"/>
    <w:rsid w:val="005606E5"/>
    <w:rsid w:val="00562285"/>
    <w:rsid w:val="005662FC"/>
    <w:rsid w:val="00570F09"/>
    <w:rsid w:val="005729B5"/>
    <w:rsid w:val="005752C0"/>
    <w:rsid w:val="00581AFD"/>
    <w:rsid w:val="00596BF3"/>
    <w:rsid w:val="005A4EEA"/>
    <w:rsid w:val="005B05BC"/>
    <w:rsid w:val="005B1AC3"/>
    <w:rsid w:val="005B2031"/>
    <w:rsid w:val="005C3F8C"/>
    <w:rsid w:val="005C5B59"/>
    <w:rsid w:val="005D4D6C"/>
    <w:rsid w:val="005D6464"/>
    <w:rsid w:val="005D682F"/>
    <w:rsid w:val="005E112B"/>
    <w:rsid w:val="005E454F"/>
    <w:rsid w:val="005F6C92"/>
    <w:rsid w:val="005F7218"/>
    <w:rsid w:val="005F7574"/>
    <w:rsid w:val="00600F0A"/>
    <w:rsid w:val="00606EC7"/>
    <w:rsid w:val="00610BC9"/>
    <w:rsid w:val="006111BE"/>
    <w:rsid w:val="00611CE4"/>
    <w:rsid w:val="0063195D"/>
    <w:rsid w:val="00636324"/>
    <w:rsid w:val="00646592"/>
    <w:rsid w:val="006635B3"/>
    <w:rsid w:val="00673FB6"/>
    <w:rsid w:val="00677475"/>
    <w:rsid w:val="006826A6"/>
    <w:rsid w:val="00691B07"/>
    <w:rsid w:val="006B3D27"/>
    <w:rsid w:val="006C2B23"/>
    <w:rsid w:val="006C6CAF"/>
    <w:rsid w:val="006C74F0"/>
    <w:rsid w:val="007020AC"/>
    <w:rsid w:val="007073F8"/>
    <w:rsid w:val="00715B1E"/>
    <w:rsid w:val="007321E3"/>
    <w:rsid w:val="007360D2"/>
    <w:rsid w:val="007376CF"/>
    <w:rsid w:val="00742915"/>
    <w:rsid w:val="007506B5"/>
    <w:rsid w:val="0075145D"/>
    <w:rsid w:val="00763A94"/>
    <w:rsid w:val="00764571"/>
    <w:rsid w:val="00781E30"/>
    <w:rsid w:val="007A2EBA"/>
    <w:rsid w:val="007C5122"/>
    <w:rsid w:val="007D0117"/>
    <w:rsid w:val="007E17D3"/>
    <w:rsid w:val="00817A62"/>
    <w:rsid w:val="00824DB0"/>
    <w:rsid w:val="00830DF5"/>
    <w:rsid w:val="008345E7"/>
    <w:rsid w:val="0083577C"/>
    <w:rsid w:val="0085608F"/>
    <w:rsid w:val="00860052"/>
    <w:rsid w:val="0087250C"/>
    <w:rsid w:val="00891E95"/>
    <w:rsid w:val="00895BBA"/>
    <w:rsid w:val="008A14AC"/>
    <w:rsid w:val="008A4E65"/>
    <w:rsid w:val="008A6549"/>
    <w:rsid w:val="008B22DB"/>
    <w:rsid w:val="008B5C60"/>
    <w:rsid w:val="008B79CD"/>
    <w:rsid w:val="008B7A58"/>
    <w:rsid w:val="008C7FF1"/>
    <w:rsid w:val="008E2A39"/>
    <w:rsid w:val="008E3354"/>
    <w:rsid w:val="008E3FC4"/>
    <w:rsid w:val="008E4E62"/>
    <w:rsid w:val="008E5AB0"/>
    <w:rsid w:val="008F1278"/>
    <w:rsid w:val="00901AED"/>
    <w:rsid w:val="00901E5B"/>
    <w:rsid w:val="00912523"/>
    <w:rsid w:val="00923444"/>
    <w:rsid w:val="009260F0"/>
    <w:rsid w:val="009372AD"/>
    <w:rsid w:val="009410F0"/>
    <w:rsid w:val="00946FB5"/>
    <w:rsid w:val="00947928"/>
    <w:rsid w:val="00951BB8"/>
    <w:rsid w:val="00954CDE"/>
    <w:rsid w:val="00966C62"/>
    <w:rsid w:val="00974472"/>
    <w:rsid w:val="0098511C"/>
    <w:rsid w:val="009862F4"/>
    <w:rsid w:val="009A2B79"/>
    <w:rsid w:val="009A2BB7"/>
    <w:rsid w:val="009A7574"/>
    <w:rsid w:val="009B5AEE"/>
    <w:rsid w:val="009B79C8"/>
    <w:rsid w:val="009C474E"/>
    <w:rsid w:val="009C601C"/>
    <w:rsid w:val="009C7302"/>
    <w:rsid w:val="009C7FD2"/>
    <w:rsid w:val="009D745F"/>
    <w:rsid w:val="009E0C96"/>
    <w:rsid w:val="009E1889"/>
    <w:rsid w:val="009E72AB"/>
    <w:rsid w:val="009F0B0A"/>
    <w:rsid w:val="009F6C36"/>
    <w:rsid w:val="00A02F57"/>
    <w:rsid w:val="00A07755"/>
    <w:rsid w:val="00A151D1"/>
    <w:rsid w:val="00A23FDC"/>
    <w:rsid w:val="00A3081C"/>
    <w:rsid w:val="00A31522"/>
    <w:rsid w:val="00A35DBE"/>
    <w:rsid w:val="00A41480"/>
    <w:rsid w:val="00A45044"/>
    <w:rsid w:val="00A47BCF"/>
    <w:rsid w:val="00A57172"/>
    <w:rsid w:val="00A602CF"/>
    <w:rsid w:val="00A73988"/>
    <w:rsid w:val="00A74570"/>
    <w:rsid w:val="00A828B2"/>
    <w:rsid w:val="00A864C7"/>
    <w:rsid w:val="00A92AF9"/>
    <w:rsid w:val="00A969E5"/>
    <w:rsid w:val="00AA1FEF"/>
    <w:rsid w:val="00AA6632"/>
    <w:rsid w:val="00AC2F74"/>
    <w:rsid w:val="00AC7A82"/>
    <w:rsid w:val="00AD2CD0"/>
    <w:rsid w:val="00AD7AC5"/>
    <w:rsid w:val="00AE13A2"/>
    <w:rsid w:val="00AE5BD5"/>
    <w:rsid w:val="00AE5F3C"/>
    <w:rsid w:val="00AF1370"/>
    <w:rsid w:val="00AF2CF0"/>
    <w:rsid w:val="00AF794B"/>
    <w:rsid w:val="00B14E86"/>
    <w:rsid w:val="00B1607B"/>
    <w:rsid w:val="00B227CA"/>
    <w:rsid w:val="00B23093"/>
    <w:rsid w:val="00B24D2C"/>
    <w:rsid w:val="00B250DA"/>
    <w:rsid w:val="00B4093C"/>
    <w:rsid w:val="00B417DB"/>
    <w:rsid w:val="00B41EDF"/>
    <w:rsid w:val="00B52D92"/>
    <w:rsid w:val="00B74EC0"/>
    <w:rsid w:val="00B75287"/>
    <w:rsid w:val="00B77085"/>
    <w:rsid w:val="00B95720"/>
    <w:rsid w:val="00BA476C"/>
    <w:rsid w:val="00BA480C"/>
    <w:rsid w:val="00BB543E"/>
    <w:rsid w:val="00BB7995"/>
    <w:rsid w:val="00BC294C"/>
    <w:rsid w:val="00BC468B"/>
    <w:rsid w:val="00BC683C"/>
    <w:rsid w:val="00BC7A37"/>
    <w:rsid w:val="00BD0AA9"/>
    <w:rsid w:val="00BD58C4"/>
    <w:rsid w:val="00BD6C71"/>
    <w:rsid w:val="00BD765A"/>
    <w:rsid w:val="00BE5EAF"/>
    <w:rsid w:val="00BF2F63"/>
    <w:rsid w:val="00BF632A"/>
    <w:rsid w:val="00C05E02"/>
    <w:rsid w:val="00C10A9A"/>
    <w:rsid w:val="00C11301"/>
    <w:rsid w:val="00C12FA5"/>
    <w:rsid w:val="00C241B4"/>
    <w:rsid w:val="00C324B4"/>
    <w:rsid w:val="00C37A2B"/>
    <w:rsid w:val="00C42EF5"/>
    <w:rsid w:val="00C5080A"/>
    <w:rsid w:val="00C51C7E"/>
    <w:rsid w:val="00C550AF"/>
    <w:rsid w:val="00C67406"/>
    <w:rsid w:val="00C71EBB"/>
    <w:rsid w:val="00C8472F"/>
    <w:rsid w:val="00C90A80"/>
    <w:rsid w:val="00C9501B"/>
    <w:rsid w:val="00C96BA1"/>
    <w:rsid w:val="00CB3653"/>
    <w:rsid w:val="00CB6CA1"/>
    <w:rsid w:val="00CC3C2A"/>
    <w:rsid w:val="00CC63E3"/>
    <w:rsid w:val="00CD649B"/>
    <w:rsid w:val="00CE41CB"/>
    <w:rsid w:val="00CF473F"/>
    <w:rsid w:val="00D011CC"/>
    <w:rsid w:val="00D07AA6"/>
    <w:rsid w:val="00D3670A"/>
    <w:rsid w:val="00D41B69"/>
    <w:rsid w:val="00D605C7"/>
    <w:rsid w:val="00D60B28"/>
    <w:rsid w:val="00D72469"/>
    <w:rsid w:val="00D72531"/>
    <w:rsid w:val="00D7394C"/>
    <w:rsid w:val="00D83093"/>
    <w:rsid w:val="00D8656B"/>
    <w:rsid w:val="00D865D1"/>
    <w:rsid w:val="00D87DB9"/>
    <w:rsid w:val="00DA0A39"/>
    <w:rsid w:val="00DA19FD"/>
    <w:rsid w:val="00DB3CC2"/>
    <w:rsid w:val="00DC21A2"/>
    <w:rsid w:val="00DC4D2F"/>
    <w:rsid w:val="00DD34EC"/>
    <w:rsid w:val="00DE4F8F"/>
    <w:rsid w:val="00DE5400"/>
    <w:rsid w:val="00E034E5"/>
    <w:rsid w:val="00E05E50"/>
    <w:rsid w:val="00E117EF"/>
    <w:rsid w:val="00E13BC5"/>
    <w:rsid w:val="00E3249C"/>
    <w:rsid w:val="00E361C6"/>
    <w:rsid w:val="00E3753B"/>
    <w:rsid w:val="00E427EF"/>
    <w:rsid w:val="00E42812"/>
    <w:rsid w:val="00E47C59"/>
    <w:rsid w:val="00E56C50"/>
    <w:rsid w:val="00E60D5A"/>
    <w:rsid w:val="00E61581"/>
    <w:rsid w:val="00E61F71"/>
    <w:rsid w:val="00E64E80"/>
    <w:rsid w:val="00E701F8"/>
    <w:rsid w:val="00E712A9"/>
    <w:rsid w:val="00E80201"/>
    <w:rsid w:val="00E87307"/>
    <w:rsid w:val="00E96993"/>
    <w:rsid w:val="00EA721C"/>
    <w:rsid w:val="00EB1386"/>
    <w:rsid w:val="00EB3096"/>
    <w:rsid w:val="00EB710F"/>
    <w:rsid w:val="00EC4046"/>
    <w:rsid w:val="00EC54D2"/>
    <w:rsid w:val="00ED058B"/>
    <w:rsid w:val="00ED0ABF"/>
    <w:rsid w:val="00ED199F"/>
    <w:rsid w:val="00ED3D80"/>
    <w:rsid w:val="00EE1385"/>
    <w:rsid w:val="00EE362B"/>
    <w:rsid w:val="00EE37C6"/>
    <w:rsid w:val="00EF189D"/>
    <w:rsid w:val="00F01226"/>
    <w:rsid w:val="00F12B9D"/>
    <w:rsid w:val="00F1421F"/>
    <w:rsid w:val="00F22B29"/>
    <w:rsid w:val="00F22E9F"/>
    <w:rsid w:val="00F24BB4"/>
    <w:rsid w:val="00F2688D"/>
    <w:rsid w:val="00F27EB5"/>
    <w:rsid w:val="00F41618"/>
    <w:rsid w:val="00F41952"/>
    <w:rsid w:val="00F444EC"/>
    <w:rsid w:val="00F44F4D"/>
    <w:rsid w:val="00F45F6D"/>
    <w:rsid w:val="00F53A4A"/>
    <w:rsid w:val="00F54331"/>
    <w:rsid w:val="00F612A4"/>
    <w:rsid w:val="00F64CF7"/>
    <w:rsid w:val="00F718E4"/>
    <w:rsid w:val="00F7293A"/>
    <w:rsid w:val="00F74A3E"/>
    <w:rsid w:val="00F80986"/>
    <w:rsid w:val="00F81CCC"/>
    <w:rsid w:val="00F82481"/>
    <w:rsid w:val="00FA1B53"/>
    <w:rsid w:val="00FA2B8F"/>
    <w:rsid w:val="00FA3889"/>
    <w:rsid w:val="00FA7555"/>
    <w:rsid w:val="00FE07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30383"/>
  <w14:defaultImageDpi w14:val="300"/>
  <w15:docId w15:val="{42C14281-40CD-0443-9772-3499365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ourier New"/>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3B5F"/>
    <w:rPr>
      <w:color w:val="0000FF"/>
      <w:u w:val="single"/>
    </w:rPr>
  </w:style>
  <w:style w:type="character" w:styleId="FollowedHyperlink">
    <w:name w:val="FollowedHyperlink"/>
    <w:uiPriority w:val="99"/>
    <w:semiHidden/>
    <w:unhideWhenUsed/>
    <w:rsid w:val="006B3D9D"/>
    <w:rPr>
      <w:color w:val="800080"/>
      <w:u w:val="single"/>
    </w:rPr>
  </w:style>
  <w:style w:type="paragraph" w:styleId="BalloonText">
    <w:name w:val="Balloon Text"/>
    <w:basedOn w:val="Normal"/>
    <w:link w:val="BalloonTextChar"/>
    <w:uiPriority w:val="99"/>
    <w:semiHidden/>
    <w:unhideWhenUsed/>
    <w:rsid w:val="006C6CAF"/>
    <w:rPr>
      <w:rFonts w:ascii="Tahoma" w:hAnsi="Tahoma" w:cs="Tahoma"/>
      <w:sz w:val="16"/>
      <w:szCs w:val="16"/>
    </w:rPr>
  </w:style>
  <w:style w:type="character" w:customStyle="1" w:styleId="BalloonTextChar">
    <w:name w:val="Balloon Text Char"/>
    <w:link w:val="BalloonText"/>
    <w:uiPriority w:val="99"/>
    <w:semiHidden/>
    <w:rsid w:val="006C6CAF"/>
    <w:rPr>
      <w:rFonts w:ascii="Tahoma" w:hAnsi="Tahoma" w:cs="Tahoma"/>
      <w:sz w:val="16"/>
      <w:szCs w:val="16"/>
    </w:rPr>
  </w:style>
  <w:style w:type="paragraph" w:styleId="Header">
    <w:name w:val="header"/>
    <w:basedOn w:val="Normal"/>
    <w:link w:val="HeaderChar"/>
    <w:uiPriority w:val="99"/>
    <w:unhideWhenUsed/>
    <w:rsid w:val="00A45044"/>
    <w:pPr>
      <w:tabs>
        <w:tab w:val="center" w:pos="4320"/>
        <w:tab w:val="right" w:pos="8640"/>
      </w:tabs>
    </w:pPr>
  </w:style>
  <w:style w:type="character" w:customStyle="1" w:styleId="HeaderChar">
    <w:name w:val="Header Char"/>
    <w:link w:val="Header"/>
    <w:uiPriority w:val="99"/>
    <w:rsid w:val="00A45044"/>
    <w:rPr>
      <w:sz w:val="24"/>
      <w:szCs w:val="24"/>
    </w:rPr>
  </w:style>
  <w:style w:type="paragraph" w:styleId="Footer">
    <w:name w:val="footer"/>
    <w:basedOn w:val="Normal"/>
    <w:link w:val="FooterChar"/>
    <w:uiPriority w:val="99"/>
    <w:unhideWhenUsed/>
    <w:rsid w:val="00A45044"/>
    <w:pPr>
      <w:tabs>
        <w:tab w:val="center" w:pos="4320"/>
        <w:tab w:val="right" w:pos="8640"/>
      </w:tabs>
    </w:pPr>
  </w:style>
  <w:style w:type="character" w:customStyle="1" w:styleId="FooterChar">
    <w:name w:val="Footer Char"/>
    <w:link w:val="Footer"/>
    <w:uiPriority w:val="99"/>
    <w:rsid w:val="00A45044"/>
    <w:rPr>
      <w:sz w:val="24"/>
      <w:szCs w:val="24"/>
    </w:rPr>
  </w:style>
  <w:style w:type="table" w:styleId="TableGrid">
    <w:name w:val="Table Grid"/>
    <w:basedOn w:val="TableNormal"/>
    <w:uiPriority w:val="59"/>
    <w:rsid w:val="00C12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25ED"/>
    <w:pPr>
      <w:spacing w:after="200"/>
    </w:pPr>
    <w:rPr>
      <w:i/>
      <w:iCs/>
      <w:color w:val="1F497D" w:themeColor="text2"/>
      <w:sz w:val="18"/>
      <w:szCs w:val="18"/>
    </w:rPr>
  </w:style>
  <w:style w:type="paragraph" w:styleId="ListParagraph">
    <w:name w:val="List Paragraph"/>
    <w:basedOn w:val="Normal"/>
    <w:uiPriority w:val="72"/>
    <w:qFormat/>
    <w:rsid w:val="00E427EF"/>
    <w:pPr>
      <w:ind w:left="720"/>
      <w:contextualSpacing/>
    </w:pPr>
  </w:style>
  <w:style w:type="character" w:styleId="CommentReference">
    <w:name w:val="annotation reference"/>
    <w:basedOn w:val="DefaultParagraphFont"/>
    <w:uiPriority w:val="99"/>
    <w:semiHidden/>
    <w:unhideWhenUsed/>
    <w:rsid w:val="00A828B2"/>
    <w:rPr>
      <w:sz w:val="16"/>
      <w:szCs w:val="16"/>
    </w:rPr>
  </w:style>
  <w:style w:type="paragraph" w:styleId="CommentText">
    <w:name w:val="annotation text"/>
    <w:basedOn w:val="Normal"/>
    <w:link w:val="CommentTextChar"/>
    <w:uiPriority w:val="99"/>
    <w:semiHidden/>
    <w:unhideWhenUsed/>
    <w:rsid w:val="00A828B2"/>
    <w:rPr>
      <w:sz w:val="20"/>
      <w:szCs w:val="20"/>
    </w:rPr>
  </w:style>
  <w:style w:type="character" w:customStyle="1" w:styleId="CommentTextChar">
    <w:name w:val="Comment Text Char"/>
    <w:basedOn w:val="DefaultParagraphFont"/>
    <w:link w:val="CommentText"/>
    <w:uiPriority w:val="99"/>
    <w:semiHidden/>
    <w:rsid w:val="00A828B2"/>
  </w:style>
  <w:style w:type="paragraph" w:styleId="CommentSubject">
    <w:name w:val="annotation subject"/>
    <w:basedOn w:val="CommentText"/>
    <w:next w:val="CommentText"/>
    <w:link w:val="CommentSubjectChar"/>
    <w:uiPriority w:val="99"/>
    <w:semiHidden/>
    <w:unhideWhenUsed/>
    <w:rsid w:val="00A828B2"/>
    <w:rPr>
      <w:b/>
      <w:bCs/>
    </w:rPr>
  </w:style>
  <w:style w:type="character" w:customStyle="1" w:styleId="CommentSubjectChar">
    <w:name w:val="Comment Subject Char"/>
    <w:basedOn w:val="CommentTextChar"/>
    <w:link w:val="CommentSubject"/>
    <w:uiPriority w:val="99"/>
    <w:semiHidden/>
    <w:rsid w:val="00A828B2"/>
    <w:rPr>
      <w:b/>
      <w:bCs/>
    </w:rPr>
  </w:style>
  <w:style w:type="character" w:styleId="UnresolvedMention">
    <w:name w:val="Unresolved Mention"/>
    <w:basedOn w:val="DefaultParagraphFont"/>
    <w:uiPriority w:val="99"/>
    <w:semiHidden/>
    <w:unhideWhenUsed/>
    <w:rsid w:val="008E2A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3519">
      <w:bodyDiv w:val="1"/>
      <w:marLeft w:val="0"/>
      <w:marRight w:val="0"/>
      <w:marTop w:val="0"/>
      <w:marBottom w:val="0"/>
      <w:divBdr>
        <w:top w:val="none" w:sz="0" w:space="0" w:color="auto"/>
        <w:left w:val="none" w:sz="0" w:space="0" w:color="auto"/>
        <w:bottom w:val="none" w:sz="0" w:space="0" w:color="auto"/>
        <w:right w:val="none" w:sz="0" w:space="0" w:color="auto"/>
      </w:divBdr>
    </w:div>
    <w:div w:id="259486808">
      <w:bodyDiv w:val="1"/>
      <w:marLeft w:val="0"/>
      <w:marRight w:val="0"/>
      <w:marTop w:val="0"/>
      <w:marBottom w:val="0"/>
      <w:divBdr>
        <w:top w:val="none" w:sz="0" w:space="0" w:color="auto"/>
        <w:left w:val="none" w:sz="0" w:space="0" w:color="auto"/>
        <w:bottom w:val="none" w:sz="0" w:space="0" w:color="auto"/>
        <w:right w:val="none" w:sz="0" w:space="0" w:color="auto"/>
      </w:divBdr>
    </w:div>
    <w:div w:id="486677400">
      <w:bodyDiv w:val="1"/>
      <w:marLeft w:val="0"/>
      <w:marRight w:val="0"/>
      <w:marTop w:val="0"/>
      <w:marBottom w:val="0"/>
      <w:divBdr>
        <w:top w:val="none" w:sz="0" w:space="0" w:color="auto"/>
        <w:left w:val="none" w:sz="0" w:space="0" w:color="auto"/>
        <w:bottom w:val="none" w:sz="0" w:space="0" w:color="auto"/>
        <w:right w:val="none" w:sz="0" w:space="0" w:color="auto"/>
      </w:divBdr>
    </w:div>
    <w:div w:id="1030111413">
      <w:bodyDiv w:val="1"/>
      <w:marLeft w:val="0"/>
      <w:marRight w:val="0"/>
      <w:marTop w:val="0"/>
      <w:marBottom w:val="0"/>
      <w:divBdr>
        <w:top w:val="none" w:sz="0" w:space="0" w:color="auto"/>
        <w:left w:val="none" w:sz="0" w:space="0" w:color="auto"/>
        <w:bottom w:val="none" w:sz="0" w:space="0" w:color="auto"/>
        <w:right w:val="none" w:sz="0" w:space="0" w:color="auto"/>
      </w:divBdr>
    </w:div>
    <w:div w:id="1469661471">
      <w:bodyDiv w:val="1"/>
      <w:marLeft w:val="0"/>
      <w:marRight w:val="0"/>
      <w:marTop w:val="0"/>
      <w:marBottom w:val="0"/>
      <w:divBdr>
        <w:top w:val="none" w:sz="0" w:space="0" w:color="auto"/>
        <w:left w:val="none" w:sz="0" w:space="0" w:color="auto"/>
        <w:bottom w:val="none" w:sz="0" w:space="0" w:color="auto"/>
        <w:right w:val="none" w:sz="0" w:space="0" w:color="auto"/>
      </w:divBdr>
    </w:div>
    <w:div w:id="1473251133">
      <w:bodyDiv w:val="1"/>
      <w:marLeft w:val="0"/>
      <w:marRight w:val="0"/>
      <w:marTop w:val="0"/>
      <w:marBottom w:val="0"/>
      <w:divBdr>
        <w:top w:val="none" w:sz="0" w:space="0" w:color="auto"/>
        <w:left w:val="none" w:sz="0" w:space="0" w:color="auto"/>
        <w:bottom w:val="none" w:sz="0" w:space="0" w:color="auto"/>
        <w:right w:val="none" w:sz="0" w:space="0" w:color="auto"/>
      </w:divBdr>
    </w:div>
    <w:div w:id="1548910438">
      <w:bodyDiv w:val="1"/>
      <w:marLeft w:val="0"/>
      <w:marRight w:val="0"/>
      <w:marTop w:val="0"/>
      <w:marBottom w:val="0"/>
      <w:divBdr>
        <w:top w:val="none" w:sz="0" w:space="0" w:color="auto"/>
        <w:left w:val="none" w:sz="0" w:space="0" w:color="auto"/>
        <w:bottom w:val="none" w:sz="0" w:space="0" w:color="auto"/>
        <w:right w:val="none" w:sz="0" w:space="0" w:color="auto"/>
      </w:divBdr>
    </w:div>
    <w:div w:id="1794909716">
      <w:bodyDiv w:val="1"/>
      <w:marLeft w:val="0"/>
      <w:marRight w:val="0"/>
      <w:marTop w:val="0"/>
      <w:marBottom w:val="0"/>
      <w:divBdr>
        <w:top w:val="none" w:sz="0" w:space="0" w:color="auto"/>
        <w:left w:val="none" w:sz="0" w:space="0" w:color="auto"/>
        <w:bottom w:val="none" w:sz="0" w:space="0" w:color="auto"/>
        <w:right w:val="none" w:sz="0" w:space="0" w:color="auto"/>
      </w:divBdr>
    </w:div>
    <w:div w:id="1800295855">
      <w:bodyDiv w:val="1"/>
      <w:marLeft w:val="0"/>
      <w:marRight w:val="0"/>
      <w:marTop w:val="0"/>
      <w:marBottom w:val="0"/>
      <w:divBdr>
        <w:top w:val="none" w:sz="0" w:space="0" w:color="auto"/>
        <w:left w:val="none" w:sz="0" w:space="0" w:color="auto"/>
        <w:bottom w:val="none" w:sz="0" w:space="0" w:color="auto"/>
        <w:right w:val="none" w:sz="0" w:space="0" w:color="auto"/>
      </w:divBdr>
    </w:div>
    <w:div w:id="1807578070">
      <w:bodyDiv w:val="1"/>
      <w:marLeft w:val="0"/>
      <w:marRight w:val="0"/>
      <w:marTop w:val="0"/>
      <w:marBottom w:val="0"/>
      <w:divBdr>
        <w:top w:val="none" w:sz="0" w:space="0" w:color="auto"/>
        <w:left w:val="none" w:sz="0" w:space="0" w:color="auto"/>
        <w:bottom w:val="none" w:sz="0" w:space="0" w:color="auto"/>
        <w:right w:val="none" w:sz="0" w:space="0" w:color="auto"/>
      </w:divBdr>
    </w:div>
    <w:div w:id="20839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1574-B5E4-4A27-B028-DB9C0308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Shidler College of Business</Company>
  <LinksUpToDate>false</LinksUpToDate>
  <CharactersWithSpaces>23530</CharactersWithSpaces>
  <SharedDoc>false</SharedDoc>
  <HLinks>
    <vt:vector size="18" baseType="variant">
      <vt:variant>
        <vt:i4>65629</vt:i4>
      </vt:variant>
      <vt:variant>
        <vt:i4>6</vt:i4>
      </vt:variant>
      <vt:variant>
        <vt:i4>0</vt:i4>
      </vt:variant>
      <vt:variant>
        <vt:i4>5</vt:i4>
      </vt:variant>
      <vt:variant>
        <vt:lpwstr>mailto:emailaddress@xxx.xxx</vt:lpwstr>
      </vt:variant>
      <vt:variant>
        <vt:lpwstr/>
      </vt:variant>
      <vt:variant>
        <vt:i4>65629</vt:i4>
      </vt:variant>
      <vt:variant>
        <vt:i4>3</vt:i4>
      </vt:variant>
      <vt:variant>
        <vt:i4>0</vt:i4>
      </vt:variant>
      <vt:variant>
        <vt:i4>5</vt:i4>
      </vt:variant>
      <vt:variant>
        <vt:lpwstr>mailto:emailaddress@xxx.xxx</vt:lpwstr>
      </vt:variant>
      <vt:variant>
        <vt:lpwstr/>
      </vt:variant>
      <vt:variant>
        <vt:i4>65629</vt:i4>
      </vt:variant>
      <vt:variant>
        <vt:i4>0</vt:i4>
      </vt:variant>
      <vt:variant>
        <vt:i4>0</vt:i4>
      </vt:variant>
      <vt:variant>
        <vt:i4>5</vt:i4>
      </vt:variant>
      <vt:variant>
        <vt:lpwstr>mailto:emailaddress@xxx.xxx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HICSS_PC</dc:creator>
  <cp:lastModifiedBy>Dave</cp:lastModifiedBy>
  <cp:revision>73</cp:revision>
  <cp:lastPrinted>2018-05-17T01:44:00Z</cp:lastPrinted>
  <dcterms:created xsi:type="dcterms:W3CDTF">2018-05-16T19:00:00Z</dcterms:created>
  <dcterms:modified xsi:type="dcterms:W3CDTF">2018-05-17T01:54:00Z</dcterms:modified>
</cp:coreProperties>
</file>