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77777777" w:rsidR="00EE28EB" w:rsidRPr="0033735D" w:rsidRDefault="005D6572">
      <w:pPr>
        <w:pStyle w:val="Author"/>
        <w:rPr>
          <w:vertAlign w:val="superscript"/>
        </w:rPr>
      </w:pPr>
      <w:r>
        <w:t>John Steinberg, 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77777777" w:rsidR="00EE28EB" w:rsidRPr="00BB726A" w:rsidRDefault="00BB726A" w:rsidP="00EE28EB">
      <w:pPr>
        <w:pStyle w:val="email"/>
      </w:pPr>
      <w:r w:rsidRPr="00771DC9">
        <w:t>john.steinberg@temple.edu</w:t>
      </w:r>
      <w:r w:rsidRPr="00BB726A">
        <w:t>, 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proofErr w:type="gramStart"/>
      <w:r w:rsidR="00771DC9">
        <w:t xml:space="preserve">a </w:t>
      </w:r>
      <w:r>
        <w:t xml:space="preserve">widely used nonparametric method that </w:t>
      </w:r>
      <w:r w:rsidR="00E61502">
        <w:t>do</w:t>
      </w:r>
      <w:proofErr w:type="gramEnd"/>
      <w:r w:rsidR="00E61502">
        <w:t xml:space="preserve">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2490349F" w:rsidR="00DA6F79" w:rsidRPr="0033735D" w:rsidRDefault="001C3B2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in a computationally efficient framework that is tractable for big data problems.</w:t>
      </w:r>
    </w:p>
    <w:p w14:paraId="7FDB4C52" w14:textId="77777777" w:rsidR="00EE28EB" w:rsidRPr="0033735D" w:rsidRDefault="00EE28EB" w:rsidP="00E242F7">
      <w:pPr>
        <w:pStyle w:val="Index"/>
      </w:pPr>
      <w:r w:rsidRPr="0033735D">
        <w:rPr>
          <w:b/>
        </w:rPr>
        <w:t>Index Terms</w:t>
      </w:r>
      <w:r w:rsidRPr="0033735D">
        <w:t xml:space="preserve">: </w:t>
      </w:r>
      <w:r w:rsidR="00AE695F">
        <w:t>nonparametric Bayesian, variational inference, CALLHOME, Mandarin, English, phoneme recognition</w:t>
      </w:r>
    </w:p>
    <w:p w14:paraId="1B0BCFF7" w14:textId="77777777" w:rsidR="00EE28EB" w:rsidRPr="0033735D" w:rsidRDefault="00EE28EB" w:rsidP="00B04E65">
      <w:pPr>
        <w:pStyle w:val="Heading1"/>
      </w:pPr>
      <w:r w:rsidRPr="0033735D">
        <w:t>Introduction</w:t>
      </w:r>
    </w:p>
    <w:p w14:paraId="2F35F90B" w14:textId="77777777"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7AD86DDA">
                <wp:simplePos x="0" y="0"/>
                <wp:positionH relativeFrom="margin">
                  <wp:align>right</wp:align>
                </wp:positionH>
                <wp:positionV relativeFrom="margin">
                  <wp:align>bottom</wp:align>
                </wp:positionV>
                <wp:extent cx="2834640" cy="1479550"/>
                <wp:effectExtent l="0" t="0" r="3810" b="635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429B3FCF" w:rsidR="00DA2494" w:rsidRDefault="00E35D5D" w:rsidP="00CF40FC">
                            <w:pPr>
                              <w:keepNext/>
                              <w:jc w:val="center"/>
                            </w:pPr>
                            <w:r w:rsidRPr="00E35D5D">
                              <w:rPr>
                                <w:noProof/>
                              </w:rPr>
                              <w:t xml:space="preserve"> </w:t>
                            </w:r>
                            <w:r>
                              <w:rPr>
                                <w:noProof/>
                              </w:rPr>
                              <w:drawing>
                                <wp:inline distT="0" distB="0" distL="0" distR="0" wp14:anchorId="7DE17A70" wp14:editId="49399F26">
                                  <wp:extent cx="2644001" cy="896112"/>
                                  <wp:effectExtent l="0" t="0" r="4445" b="0"/>
                                  <wp:docPr id="2051" name="Picture 3" descr="C:\Users\jesteinbe\Desktop\thesis_pics\stickbr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jesteinbe\Desktop\thesis_pics\stickbrea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001" cy="896112"/>
                                          </a:xfrm>
                                          <a:prstGeom prst="rect">
                                            <a:avLst/>
                                          </a:prstGeom>
                                          <a:noFill/>
                                          <a:extLst/>
                                        </pic:spPr>
                                      </pic:pic>
                                    </a:graphicData>
                                  </a:graphic>
                                </wp:inline>
                              </w:drawing>
                            </w:r>
                          </w:p>
                          <w:p w14:paraId="5ED73F11" w14:textId="0A5D14B4"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DyfAIAAAI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" stroked="f">
                <v:textbox inset="0,0,0,0">
                  <w:txbxContent>
                    <w:p w14:paraId="0B5BE119" w14:textId="429B3FCF" w:rsidR="00DA2494" w:rsidRDefault="00E35D5D" w:rsidP="00CF40FC">
                      <w:pPr>
                        <w:keepNext/>
                        <w:jc w:val="center"/>
                      </w:pPr>
                      <w:r w:rsidRPr="00E35D5D">
                        <w:rPr>
                          <w:noProof/>
                        </w:rPr>
                        <w:t xml:space="preserve"> </w:t>
                      </w:r>
                      <w:r>
                        <w:rPr>
                          <w:noProof/>
                        </w:rPr>
                        <w:drawing>
                          <wp:inline distT="0" distB="0" distL="0" distR="0" wp14:anchorId="7DE17A70" wp14:editId="49399F26">
                            <wp:extent cx="2644001" cy="896112"/>
                            <wp:effectExtent l="0" t="0" r="4445" b="0"/>
                            <wp:docPr id="2051" name="Picture 3" descr="C:\Users\jesteinbe\Desktop\thesis_pics\stickbr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jesteinbe\Desktop\thesis_pics\stickbrea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001" cy="896112"/>
                                    </a:xfrm>
                                    <a:prstGeom prst="rect">
                                      <a:avLst/>
                                    </a:prstGeom>
                                    <a:noFill/>
                                    <a:extLst/>
                                  </pic:spPr>
                                </pic:pic>
                              </a:graphicData>
                            </a:graphic>
                          </wp:inline>
                        </w:drawing>
                      </w:r>
                    </w:p>
                    <w:p w14:paraId="5ED73F11" w14:textId="0A5D14B4"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 xml:space="preserve">Nonparametric Bayesian models have become increasingly popular in speech recognition tasks due to their ability to discover data’s underlying structure in an iterative manner.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76103D58" w:rsidR="00D45B9B" w:rsidRDefault="00FE3BE3">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C634D">
        <w:t>Figure </w:t>
      </w:r>
      <w:r w:rsidR="003C634D">
        <w:rPr>
          <w:noProof/>
        </w:rPr>
        <w:t>1</w:t>
      </w:r>
      <w:r>
        <w:fldChar w:fldCharType="end"/>
      </w:r>
      <w:r>
        <w:t xml:space="preserve">. In this representation a stick of uniform length is broken repeatedly. Each break represents a new mixture component where the fraction of the remaining stick is given by </w:t>
      </w:r>
      <w:proofErr w:type="gramStart"/>
      <w:r w:rsidRPr="00FE3BE3">
        <w:rPr>
          <w:i/>
        </w:rPr>
        <w:t>v</w:t>
      </w:r>
      <w:r>
        <w:rPr>
          <w:i/>
          <w:vertAlign w:val="subscript"/>
        </w:rPr>
        <w:t>i</w:t>
      </w:r>
      <w:proofErr w:type="gramEnd"/>
      <w:r>
        <w:t xml:space="preserve"> and the absolute length of each piece (i.e. the weight of the mixture component) is given by </w:t>
      </w:r>
      <w:r w:rsidRPr="00FE3BE3">
        <w:rPr>
          <w:i/>
        </w:rPr>
        <w:t>π</w:t>
      </w:r>
      <w:proofErr w:type="spellStart"/>
      <w:r>
        <w:rPr>
          <w:i/>
          <w:vertAlign w:val="subscript"/>
        </w:rPr>
        <w:t>i</w:t>
      </w:r>
      <w:proofErr w:type="spellEnd"/>
      <w:r>
        <w:t xml:space="preserve">. </w:t>
      </w:r>
    </w:p>
    <w:p w14:paraId="461377D7" w14:textId="34C91176" w:rsidR="005777D3" w:rsidRDefault="005777D3">
      <w:pPr>
        <w:pStyle w:val="BodyTextNext"/>
      </w:pPr>
      <w:r>
        <w:lastRenderedPageBreak/>
        <w:t xml:space="preserve">Aside from the 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 xml:space="preserve">riors (CDP) </w:t>
      </w:r>
      <w:r w:rsidR="00DA6682">
        <w:t>–</w:t>
      </w:r>
      <w:r>
        <w:t xml:space="preserve"> are assessed </w:t>
      </w:r>
      <w:r w:rsidR="00EC7C00">
        <w:t>for both the CALLHOME English</w:t>
      </w:r>
      <w:r w:rsidR="005F0413">
        <w:t xml:space="preserve"> (CH-E)</w:t>
      </w:r>
      <w:r w:rsidR="00EC7C00">
        <w:t xml:space="preserve"> and 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699D9FB7"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437C9">
        <w:t xml:space="preserve"> </w:t>
      </w:r>
      <w:r w:rsidR="002866BF">
        <w:fldChar w:fldCharType="begin"/>
      </w:r>
      <w:r w:rsidR="002866BF">
        <w:instrText xml:space="preserve"> REF _Ref349483555 \r </w:instrText>
      </w:r>
      <w:r w:rsidR="002866BF">
        <w:fldChar w:fldCharType="separate"/>
      </w:r>
      <w:r w:rsidR="003C634D">
        <w:t>[3</w:t>
      </w:r>
      <w:proofErr w:type="gramStart"/>
      <w:r w:rsidR="003C634D">
        <w:t>]</w:t>
      </w:r>
      <w:proofErr w:type="gramEnd"/>
      <w:r w:rsidR="002866BF">
        <w:fldChar w:fldCharType="end"/>
      </w:r>
      <w:r w:rsidR="003A79F3">
        <w:fldChar w:fldCharType="begin"/>
      </w:r>
      <w:r w:rsidR="003A79F3">
        <w:instrText xml:space="preserve"> REF _Ref349996341 \r </w:instrText>
      </w:r>
      <w:r w:rsidR="003A79F3">
        <w:fldChar w:fldCharType="separate"/>
      </w:r>
      <w:r w:rsidR="003C634D">
        <w:t>[4]</w:t>
      </w:r>
      <w:r w:rsidR="003A79F3">
        <w:fldChar w:fldCharType="end"/>
      </w:r>
      <w:r w:rsidR="003A79F3">
        <w:fldChar w:fldCharType="begin"/>
      </w:r>
      <w:r w:rsidR="003A79F3">
        <w:instrText xml:space="preserve"> REF _Ref349996343 \r </w:instrText>
      </w:r>
      <w:r w:rsidR="003A79F3">
        <w:fldChar w:fldCharType="separate"/>
      </w:r>
      <w:r w:rsidR="003C634D">
        <w:t>[5]</w:t>
      </w:r>
      <w:r w:rsidR="003A79F3">
        <w:fldChar w:fldCharType="end"/>
      </w:r>
      <w:r w:rsidR="004B7EC1">
        <w:t>.</w:t>
      </w:r>
      <w:r w:rsidR="00B50185">
        <w:t xml:space="preserve"> </w:t>
      </w:r>
      <w:r w:rsidR="004B7EC1">
        <w:t xml:space="preserve">By analyzing samples, </w:t>
      </w:r>
      <w:r w:rsidR="00941AAD">
        <w:t>these</w:t>
      </w:r>
      <w:r w:rsidR="004B7EC1">
        <w:t xml:space="preserve"> methods can approximate </w:t>
      </w:r>
      <w:r w:rsidR="00CE4CF3">
        <w:t>complex</w:t>
      </w:r>
      <w:r w:rsidR="004B7EC1">
        <w:t xml:space="preserve"> distribution</w:t>
      </w:r>
      <w:r w:rsidR="00CE4CF3">
        <w:t>s</w:t>
      </w:r>
      <w:r w:rsidR="004B7EC1">
        <w:t xml:space="preserve">. </w:t>
      </w:r>
      <w:r w:rsidR="00CE4CF3">
        <w:t xml:space="preserve">Unfortunately, </w:t>
      </w:r>
      <w:r w:rsidR="004B7EC1">
        <w:t xml:space="preserve">MCMC requires an increasingly large number of samples as </w:t>
      </w:r>
      <w:r w:rsidR="00EF1605">
        <w:t xml:space="preserve">the target posterior distribution </w:t>
      </w:r>
      <w:proofErr w:type="gramStart"/>
      <w:r w:rsidR="00EF1605">
        <w:t>becomes</w:t>
      </w:r>
      <w:proofErr w:type="gramEnd"/>
      <w:r w:rsidR="004B7EC1">
        <w:t xml:space="preserve"> increas</w:t>
      </w:r>
      <w:r w:rsidR="00EF1605">
        <w:t>ingly complex</w:t>
      </w:r>
      <w:r w:rsidR="004B7EC1">
        <w:t xml:space="preserve">. </w:t>
      </w:r>
      <w:r w:rsidR="00DA6682">
        <w:t>T</w:t>
      </w:r>
      <w:r w:rsidR="004B7EC1">
        <w:t xml:space="preserve">hese methods </w:t>
      </w:r>
      <w:r w:rsidR="005A37BD">
        <w:t>can become</w:t>
      </w:r>
      <w:r w:rsidR="004B7EC1">
        <w:t xml:space="preserve"> </w:t>
      </w:r>
      <w:r w:rsidR="00DA6682">
        <w:t>intractable for big data problems such as speech recognition.</w:t>
      </w:r>
      <w:r w:rsidR="004B7EC1">
        <w:t xml:space="preserve"> </w:t>
      </w:r>
    </w:p>
    <w:p w14:paraId="31FA75E0" w14:textId="4E8986BE" w:rsidR="00EF1605" w:rsidRDefault="004F24A0">
      <w:pPr>
        <w:pStyle w:val="BodyTextNext"/>
      </w:pPr>
      <w:r>
        <w:t>V</w:t>
      </w:r>
      <w:r w:rsidR="00613994">
        <w:t xml:space="preserve">ariational inference algorithms approximate </w:t>
      </w:r>
      <w:r w:rsidR="008600B0">
        <w:t xml:space="preserve">a posterior, </w:t>
      </w:r>
      <w:proofErr w:type="gramStart"/>
      <w:r w:rsidR="008600B0">
        <w:rPr>
          <w:i/>
        </w:rPr>
        <w:t>p(</w:t>
      </w:r>
      <w:proofErr w:type="spellStart"/>
      <w:proofErr w:type="gramEnd"/>
      <w:r w:rsidR="008600B0">
        <w:rPr>
          <w:i/>
        </w:rPr>
        <w:t>y|x</w:t>
      </w:r>
      <w:proofErr w:type="spellEnd"/>
      <w:r w:rsidR="008600B0">
        <w:rPr>
          <w:i/>
        </w:rPr>
        <w:t>)</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w:t>
      </w:r>
      <w:proofErr w:type="gramStart"/>
      <w:r w:rsidR="008600B0">
        <w:rPr>
          <w:i/>
        </w:rPr>
        <w:t>={</w:t>
      </w:r>
      <w:proofErr w:type="gramEnd"/>
      <w:r w:rsidR="008600B0">
        <w:rPr>
          <w:i/>
        </w:rPr>
        <w:t>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proofErr w:type="spellStart"/>
      <w:r w:rsidR="008600B0">
        <w:rPr>
          <w:i/>
        </w:rPr>
        <w:t>q</w:t>
      </w:r>
      <w:r w:rsidR="008600B0">
        <w:rPr>
          <w:i/>
          <w:vertAlign w:val="subscript"/>
        </w:rPr>
        <w:t>m</w:t>
      </w:r>
      <w:proofErr w:type="spellEnd"/>
      <w:r w:rsidR="008600B0">
        <w:t xml:space="preserve">} such that an objective function, i.e. </w:t>
      </w:r>
      <w:proofErr w:type="spellStart"/>
      <w:r w:rsidR="008600B0">
        <w:t>Kullbac</w:t>
      </w:r>
      <w:r w:rsidR="00E75660">
        <w:t>k</w:t>
      </w:r>
      <w:r w:rsidR="008600B0">
        <w:t>-L</w:t>
      </w:r>
      <w:r w:rsidR="00E75660">
        <w:t>ei</w:t>
      </w:r>
      <w:r w:rsidR="008600B0">
        <w:t>bler</w:t>
      </w:r>
      <w:proofErr w:type="spellEnd"/>
      <w:r w:rsidR="008600B0">
        <w:t xml:space="preserve"> divergence, is minimized.</w:t>
      </w:r>
      <w:r w:rsidR="005A37BD">
        <w:t xml:space="preserve"> </w:t>
      </w:r>
      <w:r w:rsidR="00EF1605">
        <w:t>In this work</w:t>
      </w:r>
      <w:r w:rsidR="00BA638E">
        <w:t xml:space="preserve"> </w:t>
      </w:r>
      <w:r w:rsidR="00EF1605">
        <w:t>three</w:t>
      </w:r>
      <w:r w:rsidR="00BA638E">
        <w:t xml:space="preserve"> </w:t>
      </w:r>
      <w:r>
        <w:t xml:space="preserve">relatively </w:t>
      </w:r>
      <w:r w:rsidR="00BA638E">
        <w:t>new</w:t>
      </w:r>
      <w:r w:rsidR="00EF1605">
        <w:t xml:space="preserve"> </w:t>
      </w:r>
      <w:r>
        <w:t xml:space="preserve">computationally efficient </w:t>
      </w:r>
      <w:r w:rsidR="00EF1605">
        <w:t>variational inference algorithms</w:t>
      </w:r>
      <w:r>
        <w:t xml:space="preserve"> were evaluated: </w:t>
      </w:r>
      <w:r w:rsidR="00BA638E">
        <w:t xml:space="preserve">AVDPM, CVSB, and CDP </w:t>
      </w:r>
      <w:r w:rsidR="00BA638E">
        <w:fldChar w:fldCharType="begin"/>
      </w:r>
      <w:r w:rsidR="00BA638E">
        <w:instrText xml:space="preserve"> REF _Ref349238807 \r </w:instrText>
      </w:r>
      <w:r w:rsidR="00BA638E">
        <w:fldChar w:fldCharType="separate"/>
      </w:r>
      <w:r w:rsidR="003C634D">
        <w:t>[1</w:t>
      </w:r>
      <w:proofErr w:type="gramStart"/>
      <w:r w:rsidR="003C634D">
        <w:t>]</w:t>
      </w:r>
      <w:proofErr w:type="gramEnd"/>
      <w:r w:rsidR="00BA638E">
        <w:fldChar w:fldCharType="end"/>
      </w:r>
      <w:r w:rsidR="00BA638E">
        <w:fldChar w:fldCharType="begin"/>
      </w:r>
      <w:r w:rsidR="00BA638E">
        <w:instrText xml:space="preserve"> REF _Ref349238832 \r </w:instrText>
      </w:r>
      <w:r w:rsidR="00BA638E">
        <w:fldChar w:fldCharType="separate"/>
      </w:r>
      <w:r w:rsidR="003C634D">
        <w:t>[2]</w:t>
      </w:r>
      <w:r w:rsidR="00BA638E">
        <w:fldChar w:fldCharType="end"/>
      </w:r>
      <w:r>
        <w:t>.</w:t>
      </w:r>
      <w:r w:rsidR="00EF1605">
        <w:t xml:space="preserve"> </w:t>
      </w:r>
    </w:p>
    <w:p w14:paraId="7088E76A" w14:textId="04F2142A" w:rsidR="00EF1605" w:rsidRDefault="00EF1605" w:rsidP="00EF1605">
      <w:pPr>
        <w:pStyle w:val="Heading2"/>
      </w:pPr>
      <w:r>
        <w:lastRenderedPageBreak/>
        <w:t xml:space="preserve">English </w:t>
      </w:r>
      <w:r w:rsidR="00BA638E">
        <w:t>and</w:t>
      </w:r>
      <w:r>
        <w:t xml:space="preserve"> Mandarin</w:t>
      </w:r>
      <w:r w:rsidR="004F24A0">
        <w:t xml:space="preserve"> Speech Recognition</w:t>
      </w:r>
    </w:p>
    <w:p w14:paraId="4F22D3EE" w14:textId="77777777" w:rsidR="00D34637" w:rsidRDefault="00EC7C00" w:rsidP="004B2860">
      <w:pPr>
        <w:pStyle w:val="BodyText"/>
      </w:pPr>
      <w:r>
        <w:t xml:space="preserve">As of 2009 </w:t>
      </w:r>
      <w:proofErr w:type="spellStart"/>
      <w:r>
        <w:t>Ethnologue</w:t>
      </w:r>
      <w:proofErr w:type="spellEnd"/>
      <w:r>
        <w:t xml:space="preserve"> reported 6,909 living languages in the world</w:t>
      </w:r>
      <w:r w:rsidR="001902A3">
        <w:t xml:space="preserve"> and of those Mandarin and English are numbers one and three (respectively) of the most commonly spoken </w:t>
      </w:r>
      <w:r w:rsidR="001902A3">
        <w:fldChar w:fldCharType="begin"/>
      </w:r>
      <w:r w:rsidR="001902A3">
        <w:instrText xml:space="preserve"> REF _Ref349484662 \r </w:instrText>
      </w:r>
      <w:r w:rsidR="001902A3">
        <w:fldChar w:fldCharType="separate"/>
      </w:r>
      <w:r w:rsidR="003C634D">
        <w:t>[6]</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A05F05D" w:rsidR="00EE28EB" w:rsidRPr="0033735D" w:rsidRDefault="00D61252">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C634D">
        <w:t>[7]</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as opposed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C634D">
        <w:t>[8]</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426338F7" w:rsidR="00EE28EB" w:rsidRPr="0033735D" w:rsidRDefault="00441D7B" w:rsidP="00B04E65">
      <w:pPr>
        <w:pStyle w:val="Heading1"/>
      </w:pPr>
      <w:r>
        <w:t>Nonparametric Bayesian Approaches</w:t>
      </w:r>
    </w:p>
    <w:p w14:paraId="15DE44C5" w14:textId="0B30B976"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26006C">
        <w:t>Dirichlet process mixtures</w:t>
      </w:r>
      <w:r w:rsidR="00441D7B">
        <w:t>, is provided.</w:t>
      </w:r>
      <w:r>
        <w:t xml:space="preserve"> </w:t>
      </w:r>
    </w:p>
    <w:p w14:paraId="0B00EE65" w14:textId="17086FFA" w:rsidR="00C6654E" w:rsidRDefault="00C6654E" w:rsidP="00C6654E">
      <w:pPr>
        <w:pStyle w:val="Heading2"/>
      </w:pPr>
      <w:r>
        <w:t xml:space="preserve">Dirichlet Distributions and Dirichlet Processes </w:t>
      </w:r>
    </w:p>
    <w:p w14:paraId="3DC64E57" w14:textId="6F2CEDB5" w:rsidR="00771D7B" w:rsidRDefault="004C7659" w:rsidP="00C6654E">
      <w:pPr>
        <w:pStyle w:val="BodyText"/>
      </w:pPr>
      <w:r>
        <w:rPr>
          <w:noProof/>
        </w:rPr>
        <mc:AlternateContent>
          <mc:Choice Requires="wps">
            <w:drawing>
              <wp:anchor distT="91440" distB="0" distL="0" distR="0" simplePos="0" relativeHeight="251660800" behindDoc="0" locked="0" layoutInCell="0" allowOverlap="0" wp14:anchorId="0F3C16FA" wp14:editId="590FF791">
                <wp:simplePos x="0" y="0"/>
                <wp:positionH relativeFrom="margin">
                  <wp:align>right</wp:align>
                </wp:positionH>
                <wp:positionV relativeFrom="margin">
                  <wp:align>bottom</wp:align>
                </wp:positionV>
                <wp:extent cx="2843530" cy="2390775"/>
                <wp:effectExtent l="0" t="0" r="0" b="952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8"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4"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4"/>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188.2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fwIAAAk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8"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5"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5154A3CE" w:rsidR="00736813" w:rsidRDefault="00736813">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77777777" w:rsidR="00771D7B" w:rsidRDefault="00771D7B">
      <w:pPr>
        <w:pStyle w:val="BodyTextNext"/>
      </w:pPr>
      <w:r>
        <w:t xml:space="preserve">A Dirichlet distribution is often referred to as a distribution of distributions and </w:t>
      </w:r>
      <w:r w:rsidR="002B0F75">
        <w:t>is given by</w:t>
      </w:r>
      <w:r w:rsidR="00DE0B29">
        <w:t>:</w:t>
      </w:r>
    </w:p>
    <w:p w14:paraId="21A46679" w14:textId="77777777"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27.75pt" o:ole="">
            <v:imagedata r:id="rId12" o:title=""/>
          </v:shape>
          <o:OLEObject Type="Embed" ProgID="Equation.DSMT4" ShapeID="_x0000_i1028" DrawAspect="Content" ObjectID="_1425217849"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0273F1">
        <w:fldChar w:fldCharType="begin"/>
      </w:r>
      <w:r w:rsidR="000273F1">
        <w:instrText xml:space="preserve"> SEQ MTEqn \c \* Arabic \* MERGEFORMAT </w:instrText>
      </w:r>
      <w:r w:rsidR="000273F1">
        <w:fldChar w:fldCharType="separate"/>
      </w:r>
      <w:r w:rsidR="003C634D">
        <w:rPr>
          <w:noProof/>
        </w:rPr>
        <w:instrText>1</w:instrText>
      </w:r>
      <w:r w:rsidR="000273F1">
        <w:rPr>
          <w:noProof/>
        </w:rPr>
        <w:fldChar w:fldCharType="end"/>
      </w:r>
      <w:r>
        <w:instrText>)</w:instrText>
      </w:r>
      <w:r>
        <w:fldChar w:fldCharType="end"/>
      </w:r>
    </w:p>
    <w:p w14:paraId="4B082CBF" w14:textId="056E91E3" w:rsidR="00706940" w:rsidRDefault="00A17B0E" w:rsidP="003919B4">
      <w:pPr>
        <w:pStyle w:val="BodyText"/>
      </w:pPr>
      <w:proofErr w:type="gramStart"/>
      <w:r>
        <w:lastRenderedPageBreak/>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proofErr w:type="spellStart"/>
      <w:r w:rsidR="00DB572F" w:rsidRPr="003919B4">
        <w:rPr>
          <w:i/>
        </w:rPr>
        <w:t>q</w:t>
      </w:r>
      <w:r w:rsidR="00DB572F">
        <w:rPr>
          <w:i/>
          <w:vertAlign w:val="subscript"/>
        </w:rPr>
        <w:t>k</w:t>
      </w:r>
      <w:proofErr w:type="spellEnd"/>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9" type="#_x0000_t75" style="width:39.75pt;height:17.25pt" o:ole="">
            <v:imagedata r:id="rId14" o:title=""/>
          </v:shape>
          <o:OLEObject Type="Embed" ProgID="Equation.DSMT4" ShapeID="_x0000_i1029" DrawAspect="Content" ObjectID="_1425217850" r:id="rId15"/>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proofErr w:type="spellStart"/>
      <w:r w:rsidR="00DB572F">
        <w:rPr>
          <w:i/>
          <w:vertAlign w:val="subscript"/>
        </w:rPr>
        <w:t>i</w:t>
      </w:r>
      <w:proofErr w:type="spellEnd"/>
      <w:r w:rsidR="00DB572F">
        <w:rPr>
          <w:i/>
          <w:vertAlign w:val="subscript"/>
        </w:rPr>
        <w:t>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30" type="#_x0000_t75" style="width:45.75pt;height:18pt" o:ole="">
            <v:imagedata r:id="rId16" o:title=""/>
          </v:shape>
          <o:OLEObject Type="Embed" ProgID="Equation.DSMT4" ShapeID="_x0000_i1030" DrawAspect="Content" ObjectID="_1425217851" r:id="rId17"/>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proofErr w:type="gramStart"/>
      <w:r w:rsidR="00DB572F">
        <w:rPr>
          <w:i/>
        </w:rPr>
        <w:t>, …,</w:t>
      </w:r>
      <w:proofErr w:type="gramEnd"/>
      <w:r w:rsidR="00DB572F">
        <w:rPr>
          <w:i/>
        </w:rPr>
        <w:t> </w:t>
      </w:r>
      <w:proofErr w:type="spellStart"/>
      <w:r w:rsidR="00DB572F" w:rsidRPr="003919B4">
        <w:rPr>
          <w:i/>
        </w:rPr>
        <w:t>q</w:t>
      </w:r>
      <w:r w:rsidR="00DB572F">
        <w:rPr>
          <w:i/>
          <w:vertAlign w:val="subscript"/>
        </w:rPr>
        <w:t>k</w:t>
      </w:r>
      <w:proofErr w:type="spellEnd"/>
      <w:r w:rsidR="00DB572F">
        <w:rPr>
          <w:i/>
        </w:rPr>
        <w:t>)</w:t>
      </w:r>
      <w:r w:rsidR="002709B9">
        <w:rPr>
          <w:i/>
        </w:rPr>
        <w:t xml:space="preserve"> </w:t>
      </w:r>
      <w:r w:rsidR="00DB572F">
        <w:rPr>
          <w:i/>
        </w:rPr>
        <w:t>~ </w:t>
      </w:r>
      <w:proofErr w:type="spellStart"/>
      <w:r w:rsidR="00DB572F">
        <w:rPr>
          <w:i/>
        </w:rPr>
        <w:t>Dir</w:t>
      </w:r>
      <w:proofErr w:type="spellEnd"/>
      <w:r w:rsidR="00DB572F">
        <w:rPr>
          <w:i/>
        </w:rPr>
        <w:t>(α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13A98663" w:rsidR="007C03D4" w:rsidRPr="007C03D4" w:rsidRDefault="00E4355B" w:rsidP="00823BCB">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C634D">
        <w:t xml:space="preserve">Figure </w:t>
      </w:r>
      <w:r w:rsidR="003C634D">
        <w:rPr>
          <w:noProof/>
        </w:rPr>
        <w:t>2</w:t>
      </w:r>
      <w:r w:rsidR="00441D7B">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 xml:space="preserve">Although there are many representations of Dirichlet processes, </w:t>
      </w:r>
      <w:r w:rsidR="00A50A0A">
        <w:t>all three</w:t>
      </w:r>
      <w:r w:rsidR="007C03D4">
        <w:t xml:space="preserve"> algorithms used in this work focus on the stick breaking approach</w:t>
      </w:r>
      <w:r w:rsidR="00823BCB">
        <w:t xml:space="preserve"> discussed in the Introduction and shown in </w:t>
      </w:r>
      <w:r w:rsidR="00823BCB">
        <w:fldChar w:fldCharType="begin"/>
      </w:r>
      <w:r w:rsidR="00823BCB">
        <w:instrText xml:space="preserve"> REF _Ref350515200 \h </w:instrText>
      </w:r>
      <w:r w:rsidR="00823BCB">
        <w:fldChar w:fldCharType="separate"/>
      </w:r>
      <w:r w:rsidR="003C634D">
        <w:t>Figure </w:t>
      </w:r>
      <w:r w:rsidR="003C634D">
        <w:rPr>
          <w:noProof/>
        </w:rPr>
        <w:t>1</w:t>
      </w:r>
      <w:r w:rsidR="00823BCB">
        <w:fldChar w:fldCharType="end"/>
      </w:r>
      <w:r w:rsidR="007C03D4">
        <w:t>.</w:t>
      </w:r>
      <w:r w:rsidR="00840B2D">
        <w:t xml:space="preserve"> </w:t>
      </w:r>
    </w:p>
    <w:p w14:paraId="1B4A816B" w14:textId="77777777" w:rsidR="006C3A66" w:rsidRDefault="006C3A66" w:rsidP="006C3A66">
      <w:pPr>
        <w:pStyle w:val="Heading2"/>
      </w:pPr>
      <w:r>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proofErr w:type="gramStart"/>
      <w:r w:rsidR="00E45FBB" w:rsidRPr="00E45FBB">
        <w:rPr>
          <w:i/>
        </w:rPr>
        <w:t>p(</w:t>
      </w:r>
      <w:proofErr w:type="spellStart"/>
      <w:proofErr w:type="gramEnd"/>
      <w:r w:rsidR="00E45FBB" w:rsidRPr="00E45FBB">
        <w:rPr>
          <w:i/>
        </w:rPr>
        <w:t>y|x</w:t>
      </w:r>
      <w:proofErr w:type="spellEnd"/>
      <w:r w:rsidR="00E45FBB" w:rsidRPr="00E45FBB">
        <w:rPr>
          <w:i/>
        </w:rPr>
        <w:t>)</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proofErr w:type="gramStart"/>
      <w:r w:rsidR="009F3DEB">
        <w:t xml:space="preserve">in </w:t>
      </w:r>
      <w:proofErr w:type="gramEnd"/>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C634D">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C634D">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C634D">
        <w:instrText>(4)</w:instrText>
      </w:r>
      <w:r w:rsidR="00784A69">
        <w:fldChar w:fldCharType="end"/>
      </w:r>
      <w:r w:rsidR="00784A69">
        <w:fldChar w:fldCharType="end"/>
      </w:r>
      <w:r w:rsidR="00B3001B">
        <w:t xml:space="preserve"> below</w:t>
      </w:r>
      <w:r w:rsidR="00784A69">
        <w:t xml:space="preserve">. </w:t>
      </w:r>
      <w:r w:rsidR="00E45FBB">
        <w:t>By u</w:t>
      </w:r>
      <w:r w:rsidR="00E45FBB" w:rsidRPr="00E45FBB">
        <w:t xml:space="preserve">sing optimization techniques such as the EM algorithm and the </w:t>
      </w:r>
      <w:proofErr w:type="spellStart"/>
      <w:r w:rsidR="00E45FBB" w:rsidRPr="00E45FBB">
        <w:t>Kullbac</w:t>
      </w:r>
      <w:r w:rsidR="00E75660">
        <w:t>k</w:t>
      </w:r>
      <w:r w:rsidR="00E45FBB" w:rsidRPr="00E45FBB">
        <w:t>-L</w:t>
      </w:r>
      <w:r w:rsidR="00E75660">
        <w:t>ei</w:t>
      </w:r>
      <w:r w:rsidR="00E45FBB" w:rsidRPr="00E45FBB">
        <w:t>bler</w:t>
      </w:r>
      <w:proofErr w:type="spellEnd"/>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w:t>
      </w:r>
      <w:proofErr w:type="spellStart"/>
      <w:r w:rsidR="00893E36" w:rsidRPr="00E45FBB">
        <w:rPr>
          <w:i/>
        </w:rPr>
        <w:t>q</w:t>
      </w:r>
      <w:r w:rsidR="00893E36" w:rsidRPr="00E45FBB">
        <w:rPr>
          <w:i/>
          <w:vertAlign w:val="subscript"/>
        </w:rPr>
        <w:t>k</w:t>
      </w:r>
      <w:proofErr w:type="spellEnd"/>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5D17A54A" w:rsidR="005008EE" w:rsidRDefault="00175914">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 xml:space="preserve">to organize the data by partitioning them across </w:t>
      </w:r>
      <w:proofErr w:type="spellStart"/>
      <w:r w:rsidR="00593170">
        <w:t>hyperplanes</w:t>
      </w:r>
      <w:proofErr w:type="spellEnd"/>
      <w:r w:rsidR="00593170">
        <w:t xml:space="preserve"> in the feature vectors.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lastRenderedPageBreak/>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3C634D">
        <w:t>[2]</w:t>
      </w:r>
      <w:r w:rsidR="0027190D">
        <w:fldChar w:fldCharType="end"/>
      </w:r>
      <w:r w:rsidR="00441D7B">
        <w:t xml:space="preserve"> </w:t>
      </w:r>
    </w:p>
    <w:p w14:paraId="56FEF4A9" w14:textId="08657172" w:rsidR="00413034" w:rsidRDefault="00526205" w:rsidP="00526205">
      <w:pPr>
        <w:pStyle w:val="MTDisplayEquation"/>
      </w:pPr>
      <w:r>
        <w:tab/>
      </w:r>
      <w:r w:rsidR="00E665EC" w:rsidRPr="00E665EC">
        <w:rPr>
          <w:position w:val="-24"/>
        </w:rPr>
        <w:object w:dxaOrig="3400" w:dyaOrig="580" w14:anchorId="3E7D48BD">
          <v:shape id="_x0000_i1025" type="#_x0000_t75" style="width:164.25pt;height:27pt" o:ole="">
            <v:imagedata r:id="rId18" o:title=""/>
          </v:shape>
          <o:OLEObject Type="Embed" ProgID="Equation.DSMT4" ShapeID="_x0000_i1025" DrawAspect="Content" ObjectID="_1425217852" r:id="rId19"/>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6" w:name="ZEqnNum623509"/>
      <w:r w:rsidR="00413034">
        <w:instrText>(</w:instrText>
      </w:r>
      <w:r w:rsidR="000273F1">
        <w:fldChar w:fldCharType="begin"/>
      </w:r>
      <w:r w:rsidR="000273F1">
        <w:instrText xml:space="preserve"> SEQ MTEqn \c \* Arabic \* MERGEFORMAT </w:instrText>
      </w:r>
      <w:r w:rsidR="000273F1">
        <w:fldChar w:fldCharType="separate"/>
      </w:r>
      <w:r w:rsidR="003C634D">
        <w:rPr>
          <w:noProof/>
        </w:rPr>
        <w:instrText>2</w:instrText>
      </w:r>
      <w:r w:rsidR="000273F1">
        <w:rPr>
          <w:noProof/>
        </w:rPr>
        <w:fldChar w:fldCharType="end"/>
      </w:r>
      <w:r w:rsidR="00413034">
        <w:instrText>)</w:instrText>
      </w:r>
      <w:bookmarkEnd w:id="6"/>
      <w:r w:rsidR="00413034">
        <w:fldChar w:fldCharType="end"/>
      </w:r>
    </w:p>
    <w:p w14:paraId="0DFCDF2C" w14:textId="43491CBD" w:rsidR="005008EE" w:rsidRPr="005008EE" w:rsidRDefault="005008EE" w:rsidP="009D0BF3">
      <w:pPr>
        <w:pStyle w:val="BodyTextNext"/>
        <w:ind w:firstLine="0"/>
      </w:pPr>
      <w:proofErr w:type="gramStart"/>
      <w:r w:rsidRPr="009F3DEB">
        <w:t>where</w:t>
      </w:r>
      <w:proofErr w:type="gramEnd"/>
      <w:r w:rsidR="00E64E93" w:rsidRPr="009F3DEB">
        <w:t xml:space="preserve"> </w:t>
      </w:r>
      <w:proofErr w:type="spellStart"/>
      <w:r w:rsidR="00784A69" w:rsidRPr="009F3DEB">
        <w:rPr>
          <w:i/>
          <w:sz w:val="20"/>
        </w:rPr>
        <w:t>q</w:t>
      </w:r>
      <w:r w:rsidR="009F3DEB" w:rsidRPr="009F3DEB">
        <w:rPr>
          <w:i/>
          <w:sz w:val="20"/>
          <w:vertAlign w:val="subscript"/>
        </w:rPr>
        <w:t>ϕ</w:t>
      </w:r>
      <w:proofErr w:type="spellEnd"/>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proofErr w:type="spellStart"/>
      <w:r w:rsidR="009F3DEB" w:rsidRPr="009F3DEB">
        <w:rPr>
          <w:i/>
          <w:sz w:val="20"/>
        </w:rPr>
        <w:t>q</w:t>
      </w:r>
      <w:r w:rsidR="009F3DEB" w:rsidRPr="009F3DEB">
        <w:rPr>
          <w:i/>
          <w:sz w:val="20"/>
          <w:vertAlign w:val="subscript"/>
        </w:rPr>
        <w:t>ϕ</w:t>
      </w:r>
      <w:proofErr w:type="spellEnd"/>
      <w:r w:rsidR="009E7989" w:rsidRPr="009F3DEB">
        <w:rPr>
          <w:sz w:val="20"/>
        </w:rPr>
        <w:t>(</w:t>
      </w:r>
      <w:proofErr w:type="spellStart"/>
      <w:r w:rsidR="009E7989" w:rsidRPr="009F3DEB">
        <w:rPr>
          <w:sz w:val="20"/>
        </w:rPr>
        <w:t>η</w:t>
      </w:r>
      <w:r w:rsidR="009E7989" w:rsidRPr="009F3DEB">
        <w:rPr>
          <w:i/>
          <w:sz w:val="20"/>
          <w:vertAlign w:val="subscript"/>
        </w:rPr>
        <w:t>i</w:t>
      </w:r>
      <w:proofErr w:type="spellEnd"/>
      <w:r w:rsidR="009E7989" w:rsidRPr="009F3DEB">
        <w:rPr>
          <w:sz w:val="20"/>
        </w:rPr>
        <w:t xml:space="preserve">), and </w:t>
      </w:r>
      <w:proofErr w:type="spellStart"/>
      <w:r w:rsidR="009E7989" w:rsidRPr="009F3DEB">
        <w:rPr>
          <w:i/>
          <w:sz w:val="20"/>
        </w:rPr>
        <w:t>q</w:t>
      </w:r>
      <w:r w:rsidR="009E7989" w:rsidRPr="009F3DEB">
        <w:rPr>
          <w:i/>
          <w:sz w:val="20"/>
          <w:vertAlign w:val="subscript"/>
        </w:rPr>
        <w:t>z</w:t>
      </w:r>
      <w:proofErr w:type="spellEnd"/>
      <w:r w:rsidR="009E7989" w:rsidRPr="009F3DEB">
        <w:rPr>
          <w:i/>
          <w:sz w:val="20"/>
        </w:rPr>
        <w:t>(</w:t>
      </w:r>
      <w:proofErr w:type="spellStart"/>
      <w:r w:rsidR="009E7989" w:rsidRPr="009F3DEB">
        <w:rPr>
          <w:i/>
          <w:sz w:val="20"/>
        </w:rPr>
        <w:t>z</w:t>
      </w:r>
      <w:r w:rsidR="009E7989" w:rsidRPr="009F3DEB">
        <w:rPr>
          <w:i/>
          <w:sz w:val="20"/>
          <w:vertAlign w:val="subscript"/>
        </w:rPr>
        <w:t>n</w:t>
      </w:r>
      <w:proofErr w:type="spellEnd"/>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 xml:space="preserve">Each of the parametric models’ respective parameters </w:t>
      </w:r>
      <w:proofErr w:type="gramStart"/>
      <w:r w:rsidR="009E7989" w:rsidRPr="009F3DEB">
        <w:t>are</w:t>
      </w:r>
      <w:proofErr w:type="gramEnd"/>
      <w:r w:rsidR="009E7989" w:rsidRPr="009F3DEB">
        <w:t xml:space="preserve"> given by</w:t>
      </w:r>
      <w:r w:rsidR="00A634E9" w:rsidRPr="009F3DEB">
        <w:t xml:space="preserve"> </w:t>
      </w:r>
      <w:r w:rsidR="00A634E9" w:rsidRPr="009F3DEB">
        <w:rPr>
          <w:i/>
        </w:rPr>
        <w:t>ϕ</w:t>
      </w:r>
      <w:r w:rsidR="009E7989" w:rsidRPr="009F3DEB">
        <w:t>.</w:t>
      </w:r>
      <w:r w:rsidR="009E7989">
        <w:t xml:space="preserve"> </w:t>
      </w:r>
    </w:p>
    <w:p w14:paraId="390A646A" w14:textId="04730494" w:rsidR="00413034" w:rsidRDefault="00EB0C06">
      <w:pPr>
        <w:pStyle w:val="BodyTextNext"/>
      </w:pPr>
      <w:r>
        <w:t xml:space="preserve">CVSB and CDP, on the other hand, do not incorporate KD-trees but instead use a “hard” truncation level such that the maximum number of mixture components is </w:t>
      </w:r>
      <w:r>
        <w:rPr>
          <w:i/>
        </w:rPr>
        <w:t>T</w:t>
      </w:r>
      <w:r w:rsidR="00820837" w:rsidRPr="00820837">
        <w:t>,</w:t>
      </w:r>
      <w:r w:rsidR="00820837">
        <w:t xml:space="preserve"> </w:t>
      </w:r>
      <w:r>
        <w:t>i.e. any additio</w:t>
      </w:r>
      <w:r w:rsidR="00820837">
        <w:t>nal components have zero weight</w:t>
      </w:r>
      <w:r>
        <w:t>.</w:t>
      </w:r>
      <w:r w:rsidR="00A50A0A">
        <w:t xml:space="preserve"> </w:t>
      </w:r>
      <w:r w:rsidR="00413034">
        <w:t>The variational distribution is almost identical to that used for AVDPM</w:t>
      </w:r>
      <w:r w:rsidR="00335322">
        <w:t xml:space="preserve"> </w:t>
      </w:r>
      <w:r w:rsidR="00335322">
        <w:fldChar w:fldCharType="begin"/>
      </w:r>
      <w:r w:rsidR="00335322">
        <w:instrText xml:space="preserve"> REF _Ref349238807 \r \h </w:instrText>
      </w:r>
      <w:r w:rsidR="00335322">
        <w:fldChar w:fldCharType="separate"/>
      </w:r>
      <w:r w:rsidR="003C634D">
        <w:t>[1]</w:t>
      </w:r>
      <w:r w:rsidR="00335322">
        <w:fldChar w:fldCharType="end"/>
      </w:r>
    </w:p>
    <w:p w14:paraId="5EBB10A5" w14:textId="2B0CEB77" w:rsidR="00413034" w:rsidRDefault="00E665EC">
      <w:pPr>
        <w:pStyle w:val="BodyTextNext"/>
      </w:pPr>
      <w:r w:rsidRPr="00E665EC">
        <w:rPr>
          <w:position w:val="-26"/>
        </w:rPr>
        <w:object w:dxaOrig="3220" w:dyaOrig="620" w14:anchorId="675C3D45">
          <v:shape id="_x0000_i1026" type="#_x0000_t75" style="width:141.75pt;height:27.75pt" o:ole="">
            <v:imagedata r:id="rId20" o:title=""/>
          </v:shape>
          <o:OLEObject Type="Embed" ProgID="Equation.DSMT4" ShapeID="_x0000_i1026" DrawAspect="Content" ObjectID="_1425217853" r:id="rId21"/>
        </w:object>
      </w:r>
      <w:r w:rsidR="00413034">
        <w:tab/>
      </w:r>
      <w:bookmarkStart w:id="7"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8" w:name="ZEqnNum220842"/>
      <w:r w:rsidR="00413034">
        <w:instrText>(</w:instrText>
      </w:r>
      <w:r w:rsidR="000273F1">
        <w:fldChar w:fldCharType="begin"/>
      </w:r>
      <w:r w:rsidR="000273F1">
        <w:instrText xml:space="preserve"> SEQ MTEqn \c \* Arabic \* MERGEFOR</w:instrText>
      </w:r>
      <w:r w:rsidR="000273F1">
        <w:instrText xml:space="preserve">MAT </w:instrText>
      </w:r>
      <w:r w:rsidR="000273F1">
        <w:fldChar w:fldCharType="separate"/>
      </w:r>
      <w:r w:rsidR="003C634D">
        <w:rPr>
          <w:noProof/>
        </w:rPr>
        <w:instrText>3</w:instrText>
      </w:r>
      <w:r w:rsidR="000273F1">
        <w:rPr>
          <w:noProof/>
        </w:rPr>
        <w:fldChar w:fldCharType="end"/>
      </w:r>
      <w:r w:rsidR="00413034">
        <w:instrText>)</w:instrText>
      </w:r>
      <w:bookmarkEnd w:id="8"/>
      <w:r w:rsidR="00413034">
        <w:fldChar w:fldCharType="end"/>
      </w:r>
      <w:bookmarkEnd w:id="7"/>
    </w:p>
    <w:p w14:paraId="497A777C" w14:textId="5A43BE05" w:rsidR="004010BD" w:rsidRDefault="00335322">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9F3DEB">
        <w:t>:</w:t>
      </w:r>
    </w:p>
    <w:p w14:paraId="7A46BF50" w14:textId="0777A4A2" w:rsidR="004010BD" w:rsidRDefault="00526205" w:rsidP="006E786A">
      <w:pPr>
        <w:pStyle w:val="MTDisplayEquation"/>
      </w:pPr>
      <w:r>
        <w:tab/>
      </w:r>
      <w:r w:rsidR="00E665EC" w:rsidRPr="00E665EC">
        <w:rPr>
          <w:position w:val="-26"/>
        </w:rPr>
        <w:object w:dxaOrig="3159" w:dyaOrig="620" w14:anchorId="58A76C43">
          <v:shape id="_x0000_i1027" type="#_x0000_t75" style="width:154.5pt;height:30pt" o:ole="">
            <v:imagedata r:id="rId22" o:title=""/>
          </v:shape>
          <o:OLEObject Type="Embed" ProgID="Equation.DSMT4" ShapeID="_x0000_i1027" DrawAspect="Content" ObjectID="_1425217854" r:id="rId23"/>
        </w:object>
      </w:r>
      <w:r w:rsidR="006E786A">
        <w:tab/>
      </w:r>
      <w:bookmarkStart w:id="9"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10" w:name="ZEqnNum633349"/>
      <w:r w:rsidR="006E786A">
        <w:instrText>(</w:instrText>
      </w:r>
      <w:r w:rsidR="000273F1">
        <w:fldChar w:fldCharType="begin"/>
      </w:r>
      <w:r w:rsidR="000273F1">
        <w:instrText xml:space="preserve"> SEQ MTEqn \c \* Arabic \* MERGEFORMAT </w:instrText>
      </w:r>
      <w:r w:rsidR="000273F1">
        <w:fldChar w:fldCharType="separate"/>
      </w:r>
      <w:r w:rsidR="003C634D">
        <w:rPr>
          <w:noProof/>
        </w:rPr>
        <w:instrText>4</w:instrText>
      </w:r>
      <w:r w:rsidR="000273F1">
        <w:rPr>
          <w:noProof/>
        </w:rPr>
        <w:fldChar w:fldCharType="end"/>
      </w:r>
      <w:r w:rsidR="006E786A">
        <w:instrText>)</w:instrText>
      </w:r>
      <w:bookmarkEnd w:id="10"/>
      <w:r w:rsidR="006E786A">
        <w:fldChar w:fldCharType="end"/>
      </w:r>
      <w:bookmarkEnd w:id="9"/>
    </w:p>
    <w:p w14:paraId="07265627" w14:textId="331C0468" w:rsidR="00335322" w:rsidRPr="006E2790" w:rsidRDefault="00335322" w:rsidP="00335322">
      <w:r>
        <w:t xml:space="preserve">The primary difference between </w:t>
      </w:r>
      <w:r>
        <w:fldChar w:fldCharType="begin"/>
      </w:r>
      <w:r>
        <w:instrText xml:space="preserve"> GOTOBUTTON ZEqnNum220842  \* MERGEFORMAT </w:instrText>
      </w:r>
      <w:r>
        <w:fldChar w:fldCharType="begin"/>
      </w:r>
      <w:r>
        <w:instrText xml:space="preserve"> REF ZEqnNum220842 \* Charformat \! \* MERGEFORMAT </w:instrText>
      </w:r>
      <w:r>
        <w:fldChar w:fldCharType="separate"/>
      </w:r>
      <w:r w:rsidR="003C634D">
        <w:instrText>(3)</w:instrText>
      </w:r>
      <w:r>
        <w:fldChar w:fldCharType="end"/>
      </w:r>
      <w:r>
        <w:fldChar w:fldCharType="end"/>
      </w:r>
      <w:r>
        <w:t xml:space="preserve"> and </w:t>
      </w:r>
      <w:r>
        <w:fldChar w:fldCharType="begin"/>
      </w:r>
      <w:r>
        <w:instrText xml:space="preserve"> GOTOBUTTON ZEqnNum633349  \* MERGEFORMAT </w:instrText>
      </w:r>
      <w:r>
        <w:fldChar w:fldCharType="begin"/>
      </w:r>
      <w:r>
        <w:instrText xml:space="preserve"> REF ZEqnNum633349 \* Charformat \! \* MERGEFORMAT </w:instrText>
      </w:r>
      <w:r>
        <w:fldChar w:fldCharType="separate"/>
      </w:r>
      <w:r w:rsidR="003C634D">
        <w:instrText>(4)</w:instrText>
      </w:r>
      <w:r>
        <w:fldChar w:fldCharType="end"/>
      </w:r>
      <w:r>
        <w:fldChar w:fldCharType="end"/>
      </w:r>
      <w:r>
        <w:t xml:space="preserve"> is the replacement of the </w:t>
      </w:r>
      <w:proofErr w:type="gramStart"/>
      <w:r w:rsidRPr="00335322">
        <w:rPr>
          <w:i/>
        </w:rPr>
        <w:t>q(</w:t>
      </w:r>
      <w:proofErr w:type="gramEnd"/>
      <w:r w:rsidRPr="00335322">
        <w:rPr>
          <w:i/>
        </w:rPr>
        <w:t>v)</w:t>
      </w:r>
      <w:r>
        <w:t xml:space="preserve"> term by </w:t>
      </w:r>
      <w:r w:rsidRPr="00335322">
        <w:rPr>
          <w:i/>
        </w:rPr>
        <w:t>q(π)</w:t>
      </w:r>
      <w:r>
        <w:t xml:space="preserve">. The stick breaks, </w:t>
      </w:r>
      <w:r>
        <w:rPr>
          <w:i/>
        </w:rPr>
        <w:t>v</w:t>
      </w:r>
      <w:r>
        <w:t xml:space="preserve">, represent the </w:t>
      </w:r>
      <w:proofErr w:type="gramStart"/>
      <w:r>
        <w:t>fraction of the remaining stick</w:t>
      </w:r>
      <w:proofErr w:type="gramEnd"/>
      <w:r>
        <w:t xml:space="preserve"> length</w:t>
      </w:r>
      <w:r w:rsidR="00B24C82">
        <w:t xml:space="preserve"> and are modeled with a beta distribution </w:t>
      </w:r>
      <w:r w:rsidR="00B0585D">
        <w:fldChar w:fldCharType="begin"/>
      </w:r>
      <w:r w:rsidR="00B0585D">
        <w:instrText xml:space="preserve"> REF _Ref351103242 \r \h </w:instrText>
      </w:r>
      <w:r w:rsidR="00B0585D">
        <w:fldChar w:fldCharType="separate"/>
      </w:r>
      <w:r w:rsidR="003C634D">
        <w:t>[9]</w:t>
      </w:r>
      <w:r w:rsidR="00B0585D">
        <w:fldChar w:fldCharType="end"/>
      </w:r>
      <w:r w:rsidR="00B24C82">
        <w:t xml:space="preserve"> while </w:t>
      </w:r>
      <w:r w:rsidR="00B24C82" w:rsidRPr="00335322">
        <w:rPr>
          <w:i/>
        </w:rPr>
        <w:t>π</w:t>
      </w:r>
      <w:r w:rsidR="00B24C82">
        <w:t xml:space="preserve"> are the actual mixture weights (i.e. each </w:t>
      </w:r>
      <w:r w:rsidR="00B24C82" w:rsidRPr="00335322">
        <w:rPr>
          <w:i/>
        </w:rPr>
        <w:t>π</w:t>
      </w:r>
      <w:r w:rsidR="00B24C82">
        <w:t xml:space="preserve"> represents the fraction of the original, whole stick). </w:t>
      </w:r>
      <w:r w:rsidR="009F3DEB">
        <w:t>S</w:t>
      </w:r>
      <w:r w:rsidR="00B24C82">
        <w:t>ince the length of each stick break is held constant</w:t>
      </w:r>
      <w:r w:rsidR="006E2790">
        <w:t xml:space="preserve">, the effect from the mixture weights can be removed from the product and replaced by </w:t>
      </w:r>
      <w:proofErr w:type="gramStart"/>
      <w:r w:rsidR="006E2790" w:rsidRPr="006E2790">
        <w:rPr>
          <w:i/>
        </w:rPr>
        <w:t>q(</w:t>
      </w:r>
      <w:proofErr w:type="gramEnd"/>
      <w:r w:rsidR="006E2790" w:rsidRPr="00335322">
        <w:rPr>
          <w:i/>
        </w:rPr>
        <w:t>π</w:t>
      </w:r>
      <w:r w:rsidR="006E2790">
        <w:rPr>
          <w:i/>
        </w:rPr>
        <w:t>)</w:t>
      </w:r>
      <w:r w:rsidR="006E2790">
        <w:t>.</w:t>
      </w:r>
    </w:p>
    <w:p w14:paraId="64C3D3D5" w14:textId="77777777" w:rsidR="00992A91" w:rsidRDefault="00992A91" w:rsidP="00B04E65">
      <w:pPr>
        <w:pStyle w:val="Heading1"/>
      </w:pPr>
      <w:r>
        <w:t>Experimental Setup</w:t>
      </w:r>
    </w:p>
    <w:p w14:paraId="47A27F06" w14:textId="77777777"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08E98B8C" w14:textId="77777777" w:rsidR="00CB4A57" w:rsidRDefault="008F1786">
      <w:pPr>
        <w:pStyle w:val="BodyTextNext"/>
      </w:pPr>
      <w:r>
        <w:t>Labels for the CH-E co</w:t>
      </w:r>
      <w:r w:rsidR="007C04EE">
        <w:t xml:space="preserve">rpus consist of the 39 phonemes </w:t>
      </w:r>
      <w:r>
        <w:t xml:space="preserve">found in the CMU7 dictionary as well as three additional labels – </w:t>
      </w:r>
      <w:proofErr w:type="spellStart"/>
      <w:r>
        <w:t>sp</w:t>
      </w:r>
      <w:proofErr w:type="spellEnd"/>
      <w:r>
        <w:t xml:space="preserve">, </w:t>
      </w:r>
      <w:proofErr w:type="spellStart"/>
      <w:r>
        <w:t>sil</w:t>
      </w:r>
      <w:proofErr w:type="spellEnd"/>
      <w:r>
        <w:t xml:space="preserve">,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029B3EDF" w:rsidR="006E786A" w:rsidRDefault="006E786A">
      <w:pPr>
        <w:pStyle w:val="BodyTextNext"/>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speech from multiple speakers are discarded</w:t>
      </w:r>
      <w:r w:rsidR="000C0FE9">
        <w:t xml:space="preserve">. </w:t>
      </w:r>
    </w:p>
    <w:p w14:paraId="2EDFBB97" w14:textId="77777777" w:rsidR="00544E5A" w:rsidRDefault="00544E5A">
      <w:pPr>
        <w:pStyle w:val="BodyTextNext"/>
      </w:pPr>
      <w:r>
        <w:t>Using the generated segmentations,</w:t>
      </w:r>
      <w:r w:rsidR="006E786A">
        <w:t xml:space="preserve"> 13</w:t>
      </w:r>
      <w:r w:rsidR="00D1454F">
        <w:t xml:space="preserve"> MFCC features and their first and second derivatives are extracted</w:t>
      </w:r>
      <w:r w:rsidR="00992A91">
        <w:t xml:space="preserve"> </w:t>
      </w:r>
      <w:r w:rsidR="00D1454F">
        <w:t xml:space="preserve">using a frame </w:t>
      </w:r>
      <w:r w:rsidR="00D1454F">
        <w:lastRenderedPageBreak/>
        <w:t>rate and window size of 10ms and 25ms respectively. The</w:t>
      </w:r>
      <w:r w:rsidR="003D2457">
        <w:t xml:space="preserve"> 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14:paraId="582C5A1C" w14:textId="77777777" w:rsidR="008F1786" w:rsidRDefault="008F1786">
      <w:pPr>
        <w:pStyle w:val="BodyTextNext"/>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14:paraId="3889BE3D" w14:textId="77777777" w:rsidR="00526205" w:rsidRDefault="00B554BD">
      <w:pPr>
        <w:pStyle w:val="BodyTextNext"/>
      </w:pPr>
      <w:r>
        <w:t>These algorithms</w:t>
      </w:r>
      <w:r w:rsidR="00526205">
        <w:t xml:space="preserve"> are initially evaluated on the </w:t>
      </w:r>
      <w:r w:rsidR="00905D33">
        <w:t xml:space="preserve">well 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C634D">
        <w:t>[10</w:t>
      </w:r>
      <w:proofErr w:type="gramStart"/>
      <w:r w:rsidR="003C634D">
        <w:t>]</w:t>
      </w:r>
      <w:proofErr w:type="gramEnd"/>
      <w:r w:rsidR="00F53F03">
        <w:fldChar w:fldCharType="end"/>
      </w:r>
      <w:r w:rsidR="00F53F03">
        <w:fldChar w:fldCharType="begin"/>
      </w:r>
      <w:r w:rsidR="00F53F03">
        <w:instrText xml:space="preserve"> REF _Ref350518544 \r </w:instrText>
      </w:r>
      <w:r w:rsidR="00F53F03">
        <w:fldChar w:fldCharType="separate"/>
      </w:r>
      <w:r w:rsidR="003C634D">
        <w:t>[11]</w:t>
      </w:r>
      <w:r w:rsidR="00F53F03">
        <w:fldChar w:fldCharType="end"/>
      </w:r>
      <w:r w:rsidR="00F53F03">
        <w:fldChar w:fldCharType="begin"/>
      </w:r>
      <w:r w:rsidR="00F53F03">
        <w:instrText xml:space="preserve"> REF _Ref350518546 \r </w:instrText>
      </w:r>
      <w:r w:rsidR="00F53F03">
        <w:fldChar w:fldCharType="separate"/>
      </w:r>
      <w:r w:rsidR="003C634D">
        <w:t>[12]</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 and the 61 original phonemes that exist in the TIMIT corpus were collapsed to 39 labels</w:t>
      </w:r>
      <w:r w:rsidR="00F53F03">
        <w:t xml:space="preserve">. </w:t>
      </w:r>
      <w:r w:rsidR="00D121BC">
        <w:t xml:space="preserve">GMMs are first fit using the phoneme alignments provided with the TIMIT corpus. </w:t>
      </w:r>
      <w:r w:rsidR="006E5FF7">
        <w:t>The number of mixture components is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C634D">
        <w:t>[12]</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3C634D">
        <w:t>[12]</w:t>
      </w:r>
      <w:r w:rsidR="006E5FF7">
        <w:fldChar w:fldCharType="end"/>
      </w:r>
      <w:r w:rsidR="006E5FF7">
        <w:t xml:space="preserve"> using features only from the central portion of each phoneme segment instead of the 3-4-3 approach in this work. </w:t>
      </w:r>
      <w:r w:rsidR="005856E1">
        <w:t xml:space="preserve">With this </w:t>
      </w:r>
      <w:r w:rsidR="003D2457">
        <w:t>confirmation</w:t>
      </w:r>
      <w:r w:rsidR="005856E1">
        <w:t xml:space="preserve">, phoneme alignments are 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the CH</w:t>
      </w:r>
      <w:r w:rsidR="00FA2A4F">
        <w:noBreakHyphen/>
        <w:t xml:space="preserve">E </w:t>
      </w:r>
      <w:r w:rsidR="00FA2A4F" w:rsidRPr="00FA2A4F">
        <w:t>and</w:t>
      </w:r>
      <w:r w:rsidR="00FA2A4F">
        <w:t xml:space="preserve"> </w:t>
      </w:r>
      <w:r w:rsidR="005856E1" w:rsidRPr="00FA2A4F">
        <w:t>CH</w:t>
      </w:r>
      <w:r w:rsidR="00FA2A4F">
        <w:noBreakHyphen/>
      </w:r>
      <w:r w:rsidR="005856E1">
        <w:t>M corpora.</w:t>
      </w:r>
    </w:p>
    <w:p w14:paraId="1B661897" w14:textId="5D527294" w:rsidR="00E05430" w:rsidRDefault="00E05430" w:rsidP="00B04E65">
      <w:pPr>
        <w:pStyle w:val="Heading1"/>
      </w:pPr>
      <w:r>
        <w:t>Results &amp; Discussion</w:t>
      </w:r>
    </w:p>
    <w:p w14:paraId="20E29463" w14:textId="1058B015" w:rsidR="00E05430" w:rsidRDefault="00706940" w:rsidP="00E05430">
      <w:r>
        <w:t xml:space="preserve">The truncation level for CVSB and CDP is swept to determine an optimal operating point for each corpus. Similarly, the initial depth of the KD tree is swept for AVDPM to determine the effect on performance. Each algorithm is iterated ten times and an average misclassification error rate is calculated. </w:t>
      </w:r>
      <w:r w:rsidR="004C4673">
        <w:t>A</w:t>
      </w:r>
      <w:r>
        <w:t xml:space="preserve"> table of the best </w:t>
      </w:r>
      <w:r w:rsidR="004C4673">
        <w:t xml:space="preserve">obtained </w:t>
      </w:r>
      <w:r>
        <w:t>error rates</w:t>
      </w:r>
      <w:r w:rsidR="004C4673">
        <w:t xml:space="preserve"> on respective evaluation sets</w:t>
      </w:r>
      <w:r>
        <w:t xml:space="preserve"> </w:t>
      </w:r>
      <w:r w:rsidR="004C4673">
        <w:t>and their respective parameters are</w:t>
      </w:r>
      <w:r>
        <w:t xml:space="preserve"> shown in </w:t>
      </w:r>
      <w:r>
        <w:fldChar w:fldCharType="begin"/>
      </w:r>
      <w:r>
        <w:instrText xml:space="preserve"> REF _Ref350590506 </w:instrText>
      </w:r>
      <w:r>
        <w:fldChar w:fldCharType="separate"/>
      </w:r>
      <w:r w:rsidR="003C634D" w:rsidRPr="00160B08">
        <w:t xml:space="preserve">Table </w:t>
      </w:r>
      <w:r w:rsidR="003C634D">
        <w:rPr>
          <w:noProof/>
        </w:rPr>
        <w:t>1</w:t>
      </w:r>
      <w:r>
        <w:fldChar w:fldCharType="end"/>
      </w:r>
      <w:r w:rsidR="004C4673">
        <w:t xml:space="preserve">. </w:t>
      </w:r>
    </w:p>
    <w:p w14:paraId="7A1E3158" w14:textId="77777777" w:rsidR="0014563E" w:rsidRDefault="004C4673" w:rsidP="00FB3D33">
      <w:pPr>
        <w:pStyle w:val="BodyTextNext"/>
        <w:keep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FB3D33">
      <w:pPr>
        <w:pStyle w:val="BodyTextNext"/>
        <w:keep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w:t>
      </w:r>
      <w:r w:rsidR="00706940">
        <w:lastRenderedPageBreak/>
        <w:t xml:space="preserve">number of phoneme labels as English, i.e. each phoneme’s model is trained on less than half the number of segments as those for English.  </w:t>
      </w:r>
    </w:p>
    <w:p w14:paraId="1EA7DA81" w14:textId="32ECB725" w:rsidR="00347D69" w:rsidRDefault="0040436A" w:rsidP="00706940">
      <w:pPr>
        <w:pStyle w:val="BodyTextNext"/>
      </w:pPr>
      <w:r w:rsidRPr="0053095E">
        <w:rPr>
          <w:noProof/>
        </w:rPr>
        <mc:AlternateContent>
          <mc:Choice Requires="wps">
            <w:drawing>
              <wp:anchor distT="91440" distB="0" distL="114300" distR="114300" simplePos="0" relativeHeight="251662848" behindDoc="0" locked="0" layoutInCell="0" allowOverlap="0" wp14:anchorId="23DE98DE" wp14:editId="005A38D4">
                <wp:simplePos x="0" y="0"/>
                <wp:positionH relativeFrom="margin">
                  <wp:align>left</wp:align>
                </wp:positionH>
                <wp:positionV relativeFrom="margin">
                  <wp:align>top</wp:align>
                </wp:positionV>
                <wp:extent cx="6115685" cy="1724025"/>
                <wp:effectExtent l="0" t="0" r="0" b="952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1"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1"/>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xml:space="preserve">. The parameters corresponding to </w:t>
                            </w:r>
                            <w:proofErr w:type="gramStart"/>
                            <w:r w:rsidR="000D2AF6">
                              <w:rPr>
                                <w:i/>
                              </w:rPr>
                              <w:t>these operating point</w:t>
                            </w:r>
                            <w:proofErr w:type="gramEnd"/>
                            <w:r w:rsidR="000D2AF6">
                              <w:rPr>
                                <w:i/>
                              </w:rPr>
                              <w:t xml:space="preserve"> are also given.</w:t>
                            </w:r>
                          </w:p>
                          <w:tbl>
                            <w:tblPr>
                              <w:tblStyle w:val="LightGrid-Accent1"/>
                              <w:tblW w:w="8488" w:type="dxa"/>
                              <w:jc w:val="center"/>
                              <w:tblInd w:w="-1601" w:type="dxa"/>
                              <w:tblLook w:val="04A0" w:firstRow="1" w:lastRow="0" w:firstColumn="1" w:lastColumn="0" w:noHBand="0" w:noVBand="1"/>
                            </w:tblPr>
                            <w:tblGrid>
                              <w:gridCol w:w="797"/>
                              <w:gridCol w:w="749"/>
                              <w:gridCol w:w="1758"/>
                              <w:gridCol w:w="22"/>
                              <w:gridCol w:w="744"/>
                              <w:gridCol w:w="1844"/>
                              <w:gridCol w:w="22"/>
                              <w:gridCol w:w="749"/>
                              <w:gridCol w:w="1781"/>
                              <w:gridCol w:w="22"/>
                            </w:tblGrid>
                            <w:tr w:rsidR="000A3F63" w:rsidRPr="00395DAE" w14:paraId="3AFD9F19" w14:textId="77777777" w:rsidTr="00E86710">
                              <w:trPr>
                                <w:gridAfter w:val="1"/>
                                <w:cnfStyle w:val="100000000000" w:firstRow="1" w:lastRow="0" w:firstColumn="0" w:lastColumn="0" w:oddVBand="0" w:evenVBand="0" w:oddHBand="0" w:evenHBand="0" w:firstRowFirstColumn="0" w:firstRowLastColumn="0" w:lastRowFirstColumn="0" w:lastRowLastColumn="0"/>
                                <w:wAfter w:w="22" w:type="dxa"/>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07"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3"/>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52" w:type="dxa"/>
                                  <w:gridSpan w:val="3"/>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E86710">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780" w:type="dxa"/>
                                  <w:gridSpan w:val="2"/>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744"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866" w:type="dxa"/>
                                  <w:gridSpan w:val="2"/>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749"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03" w:type="dxa"/>
                                  <w:gridSpan w:val="2"/>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E8671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780" w:type="dxa"/>
                                  <w:gridSpan w:val="2"/>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744"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866" w:type="dxa"/>
                                  <w:gridSpan w:val="2"/>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749"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03" w:type="dxa"/>
                                  <w:gridSpan w:val="2"/>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E8671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780" w:type="dxa"/>
                                  <w:gridSpan w:val="2"/>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proofErr w:type="spellStart"/>
                                  <w:r w:rsidRPr="000A3F63">
                                    <w:rPr>
                                      <w:b/>
                                      <w:sz w:val="14"/>
                                      <w:szCs w:val="14"/>
                                    </w:rPr>
                                    <w:t>Init.</w:t>
                                  </w:r>
                                  <w:proofErr w:type="spellEnd"/>
                                  <w:r w:rsidRPr="000A3F63">
                                    <w:rPr>
                                      <w:b/>
                                      <w:sz w:val="14"/>
                                      <w:szCs w:val="14"/>
                                    </w:rPr>
                                    <w:t xml:space="preserve"> Depth = 4</w:t>
                                  </w:r>
                                </w:p>
                              </w:tc>
                              <w:tc>
                                <w:tcPr>
                                  <w:tcW w:w="744"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866" w:type="dxa"/>
                                  <w:gridSpan w:val="2"/>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proofErr w:type="spellStart"/>
                                  <w:r w:rsidRPr="000A3F63">
                                    <w:rPr>
                                      <w:b/>
                                      <w:sz w:val="14"/>
                                      <w:szCs w:val="14"/>
                                    </w:rPr>
                                    <w:t>Init.</w:t>
                                  </w:r>
                                  <w:proofErr w:type="spellEnd"/>
                                  <w:r w:rsidRPr="000A3F63">
                                    <w:rPr>
                                      <w:b/>
                                      <w:sz w:val="14"/>
                                      <w:szCs w:val="14"/>
                                    </w:rPr>
                                    <w:t xml:space="preserve">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w:t>
                                  </w:r>
                                  <w:r w:rsidRPr="000A3F63">
                                    <w:rPr>
                                      <w:b/>
                                      <w:bCs/>
                                      <w:kern w:val="24"/>
                                      <w:sz w:val="14"/>
                                      <w:szCs w:val="14"/>
                                    </w:rPr>
                                    <w:t xml:space="preserve"># Mixt. = </w:t>
                                  </w:r>
                                  <w:r w:rsidR="008450DE" w:rsidRPr="000A3F63">
                                    <w:rPr>
                                      <w:b/>
                                      <w:sz w:val="14"/>
                                      <w:szCs w:val="14"/>
                                    </w:rPr>
                                    <w:t>5.14</w:t>
                                  </w:r>
                                </w:p>
                              </w:tc>
                              <w:tc>
                                <w:tcPr>
                                  <w:tcW w:w="749"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03" w:type="dxa"/>
                                  <w:gridSpan w:val="2"/>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proofErr w:type="spellStart"/>
                                  <w:r w:rsidRPr="000A3F63">
                                    <w:rPr>
                                      <w:b/>
                                      <w:sz w:val="14"/>
                                      <w:szCs w:val="14"/>
                                    </w:rPr>
                                    <w:t>Init.</w:t>
                                  </w:r>
                                  <w:proofErr w:type="spellEnd"/>
                                  <w:r w:rsidRPr="000A3F63">
                                    <w:rPr>
                                      <w:b/>
                                      <w:sz w:val="14"/>
                                      <w:szCs w:val="14"/>
                                    </w:rPr>
                                    <w:t xml:space="preserve">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E8671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780" w:type="dxa"/>
                                  <w:gridSpan w:val="2"/>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744"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866" w:type="dxa"/>
                                  <w:gridSpan w:val="2"/>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749"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03" w:type="dxa"/>
                                  <w:gridSpan w:val="2"/>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 xml:space="preserve">Truncation Level = </w:t>
                                  </w:r>
                                  <w:r>
                                    <w:rPr>
                                      <w:b/>
                                      <w:sz w:val="14"/>
                                      <w:szCs w:val="14"/>
                                    </w:rPr>
                                    <w:t>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E8671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780" w:type="dxa"/>
                                  <w:gridSpan w:val="2"/>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744"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866" w:type="dxa"/>
                                  <w:gridSpan w:val="2"/>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 xml:space="preserve">Truncation Level = </w:t>
                                  </w:r>
                                  <w:r>
                                    <w:rPr>
                                      <w:b/>
                                      <w:sz w:val="14"/>
                                      <w:szCs w:val="14"/>
                                    </w:rPr>
                                    <w:t>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749"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03" w:type="dxa"/>
                                  <w:gridSpan w:val="2"/>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 xml:space="preserve">Truncation Level = </w:t>
                                  </w:r>
                                  <w:r>
                                    <w:rPr>
                                      <w:b/>
                                      <w:sz w:val="14"/>
                                      <w:szCs w:val="14"/>
                                    </w:rPr>
                                    <w:t>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7.2pt;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incell="f"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2"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2"/>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xml:space="preserve">. The parameters corresponding to </w:t>
                      </w:r>
                      <w:proofErr w:type="gramStart"/>
                      <w:r w:rsidR="000D2AF6">
                        <w:rPr>
                          <w:i/>
                        </w:rPr>
                        <w:t>these operating point</w:t>
                      </w:r>
                      <w:proofErr w:type="gramEnd"/>
                      <w:r w:rsidR="000D2AF6">
                        <w:rPr>
                          <w:i/>
                        </w:rPr>
                        <w:t xml:space="preserve"> are also given.</w:t>
                      </w:r>
                    </w:p>
                    <w:tbl>
                      <w:tblPr>
                        <w:tblStyle w:val="LightGrid-Accent1"/>
                        <w:tblW w:w="8488" w:type="dxa"/>
                        <w:jc w:val="center"/>
                        <w:tblInd w:w="-1601" w:type="dxa"/>
                        <w:tblLook w:val="04A0" w:firstRow="1" w:lastRow="0" w:firstColumn="1" w:lastColumn="0" w:noHBand="0" w:noVBand="1"/>
                      </w:tblPr>
                      <w:tblGrid>
                        <w:gridCol w:w="797"/>
                        <w:gridCol w:w="749"/>
                        <w:gridCol w:w="1758"/>
                        <w:gridCol w:w="22"/>
                        <w:gridCol w:w="744"/>
                        <w:gridCol w:w="1844"/>
                        <w:gridCol w:w="22"/>
                        <w:gridCol w:w="749"/>
                        <w:gridCol w:w="1781"/>
                        <w:gridCol w:w="22"/>
                      </w:tblGrid>
                      <w:tr w:rsidR="000A3F63" w:rsidRPr="00395DAE" w14:paraId="3AFD9F19" w14:textId="77777777" w:rsidTr="00E86710">
                        <w:trPr>
                          <w:gridAfter w:val="1"/>
                          <w:cnfStyle w:val="100000000000" w:firstRow="1" w:lastRow="0" w:firstColumn="0" w:lastColumn="0" w:oddVBand="0" w:evenVBand="0" w:oddHBand="0" w:evenHBand="0" w:firstRowFirstColumn="0" w:firstRowLastColumn="0" w:lastRowFirstColumn="0" w:lastRowLastColumn="0"/>
                          <w:wAfter w:w="22" w:type="dxa"/>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07"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3"/>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52" w:type="dxa"/>
                            <w:gridSpan w:val="3"/>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E86710">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780" w:type="dxa"/>
                            <w:gridSpan w:val="2"/>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744"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866" w:type="dxa"/>
                            <w:gridSpan w:val="2"/>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749"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03" w:type="dxa"/>
                            <w:gridSpan w:val="2"/>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E8671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780" w:type="dxa"/>
                            <w:gridSpan w:val="2"/>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744"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866" w:type="dxa"/>
                            <w:gridSpan w:val="2"/>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749"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03" w:type="dxa"/>
                            <w:gridSpan w:val="2"/>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E8671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780" w:type="dxa"/>
                            <w:gridSpan w:val="2"/>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proofErr w:type="spellStart"/>
                            <w:r w:rsidRPr="000A3F63">
                              <w:rPr>
                                <w:b/>
                                <w:sz w:val="14"/>
                                <w:szCs w:val="14"/>
                              </w:rPr>
                              <w:t>Init.</w:t>
                            </w:r>
                            <w:proofErr w:type="spellEnd"/>
                            <w:r w:rsidRPr="000A3F63">
                              <w:rPr>
                                <w:b/>
                                <w:sz w:val="14"/>
                                <w:szCs w:val="14"/>
                              </w:rPr>
                              <w:t xml:space="preserve"> Depth = 4</w:t>
                            </w:r>
                          </w:p>
                        </w:tc>
                        <w:tc>
                          <w:tcPr>
                            <w:tcW w:w="744"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866" w:type="dxa"/>
                            <w:gridSpan w:val="2"/>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proofErr w:type="spellStart"/>
                            <w:r w:rsidRPr="000A3F63">
                              <w:rPr>
                                <w:b/>
                                <w:sz w:val="14"/>
                                <w:szCs w:val="14"/>
                              </w:rPr>
                              <w:t>Init.</w:t>
                            </w:r>
                            <w:proofErr w:type="spellEnd"/>
                            <w:r w:rsidRPr="000A3F63">
                              <w:rPr>
                                <w:b/>
                                <w:sz w:val="14"/>
                                <w:szCs w:val="14"/>
                              </w:rPr>
                              <w:t xml:space="preserve">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w:t>
                            </w:r>
                            <w:r w:rsidRPr="000A3F63">
                              <w:rPr>
                                <w:b/>
                                <w:bCs/>
                                <w:kern w:val="24"/>
                                <w:sz w:val="14"/>
                                <w:szCs w:val="14"/>
                              </w:rPr>
                              <w:t xml:space="preserve"># Mixt. = </w:t>
                            </w:r>
                            <w:r w:rsidR="008450DE" w:rsidRPr="000A3F63">
                              <w:rPr>
                                <w:b/>
                                <w:sz w:val="14"/>
                                <w:szCs w:val="14"/>
                              </w:rPr>
                              <w:t>5.14</w:t>
                            </w:r>
                          </w:p>
                        </w:tc>
                        <w:tc>
                          <w:tcPr>
                            <w:tcW w:w="749"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03" w:type="dxa"/>
                            <w:gridSpan w:val="2"/>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proofErr w:type="spellStart"/>
                            <w:r w:rsidRPr="000A3F63">
                              <w:rPr>
                                <w:b/>
                                <w:sz w:val="14"/>
                                <w:szCs w:val="14"/>
                              </w:rPr>
                              <w:t>Init.</w:t>
                            </w:r>
                            <w:proofErr w:type="spellEnd"/>
                            <w:r w:rsidRPr="000A3F63">
                              <w:rPr>
                                <w:b/>
                                <w:sz w:val="14"/>
                                <w:szCs w:val="14"/>
                              </w:rPr>
                              <w:t xml:space="preserve">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E86710">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780" w:type="dxa"/>
                            <w:gridSpan w:val="2"/>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744"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866" w:type="dxa"/>
                            <w:gridSpan w:val="2"/>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749"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03" w:type="dxa"/>
                            <w:gridSpan w:val="2"/>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 xml:space="preserve">Truncation Level = </w:t>
                            </w:r>
                            <w:r>
                              <w:rPr>
                                <w:b/>
                                <w:sz w:val="14"/>
                                <w:szCs w:val="14"/>
                              </w:rPr>
                              <w:t>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E8671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780" w:type="dxa"/>
                            <w:gridSpan w:val="2"/>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744"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866" w:type="dxa"/>
                            <w:gridSpan w:val="2"/>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 xml:space="preserve">Truncation Level = </w:t>
                            </w:r>
                            <w:r>
                              <w:rPr>
                                <w:b/>
                                <w:sz w:val="14"/>
                                <w:szCs w:val="14"/>
                              </w:rPr>
                              <w:t>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749"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03" w:type="dxa"/>
                            <w:gridSpan w:val="2"/>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 xml:space="preserve">Truncation Level = </w:t>
                            </w:r>
                            <w:r>
                              <w:rPr>
                                <w:b/>
                                <w:sz w:val="14"/>
                                <w:szCs w:val="14"/>
                              </w:rPr>
                              <w:t>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14563E" w:rsidRPr="00160B08">
        <w:t xml:space="preserve">Table </w:t>
      </w:r>
      <w:r w:rsidR="0014563E">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03A71FC5" w:rsidR="00081F82" w:rsidRDefault="00820824">
      <w:pPr>
        <w:pStyle w:val="BodyTextNext"/>
      </w:pPr>
      <w:r>
        <w:t xml:space="preserve">AVDPM’s performance </w:t>
      </w:r>
      <w:r w:rsidR="00BC7EC7">
        <w:t>and average number of mixture components are</w:t>
      </w:r>
      <w:r>
        <w:t xml:space="preserve"> comparable to both CVSB and CDP but </w:t>
      </w:r>
      <w:r w:rsidR="00BC7EC7">
        <w:t>the</w:t>
      </w:r>
      <w:r>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C634D">
        <w:t>[2]</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BC7EC7" w:rsidRPr="00160B08">
        <w:t xml:space="preserve">Table </w:t>
      </w:r>
      <w:r w:rsidR="00BC7EC7">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only marginally </w:t>
      </w:r>
      <w:r w:rsidR="005B4262">
        <w:t>worsens</w:t>
      </w:r>
      <w:r w:rsidR="00BC7EC7">
        <w:t xml:space="preserve"> error by </w:t>
      </w:r>
      <w:r w:rsidR="005B4262">
        <w:t xml:space="preserve">1.32% and 1.14% respectively. </w:t>
      </w:r>
    </w:p>
    <w:p w14:paraId="6877597B" w14:textId="33CB8DF9" w:rsidR="001453E8" w:rsidRDefault="0043135C">
      <w:pPr>
        <w:pStyle w:val="BodyTextNext"/>
      </w:pPr>
      <w:r>
        <w:t xml:space="preserve">This is particularly interesting as </w:t>
      </w:r>
      <w:r w:rsidR="006046BA">
        <w:fldChar w:fldCharType="begin"/>
      </w:r>
      <w:r w:rsidR="006046BA">
        <w:instrText xml:space="preserve"> REF _Ref351046010 \h </w:instrText>
      </w:r>
      <w:r w:rsidR="006046BA">
        <w:fldChar w:fldCharType="separate"/>
      </w:r>
      <w:r w:rsidR="004C4673">
        <w:t xml:space="preserve">Figure </w:t>
      </w:r>
      <w:r w:rsidR="004C4673">
        <w:rPr>
          <w:noProof/>
        </w:rPr>
        <w:t>3</w:t>
      </w:r>
      <w:r w:rsidR="006046BA">
        <w:fldChar w:fldCharType="end"/>
      </w:r>
      <w:r w:rsidR="006046BA">
        <w:t xml:space="preserve"> shows how the training times of AVDPM, CVSB, and CDP vary as additional training samples are used. These times</w:t>
      </w:r>
      <w:r w:rsidR="00F330FA">
        <w:t xml:space="preserve"> were obtained using optimal operating points on the TIMIT corpus where the initial depth of the KD </w:t>
      </w:r>
      <w:r w:rsidR="00704E2F">
        <w:t>tree is set to 4</w:t>
      </w:r>
      <w:r w:rsidR="00F330FA">
        <w:t xml:space="preserve"> for AVDPM and the truncation level for both CDP and CVSB </w:t>
      </w:r>
      <w:r w:rsidR="00DC608C">
        <w:t>are also</w:t>
      </w:r>
      <w:r w:rsidR="00F330FA">
        <w:t xml:space="preserve"> 4. </w:t>
      </w:r>
      <w:r w:rsidR="001453E8">
        <w:t xml:space="preserve">The left side of the figure </w:t>
      </w:r>
      <w:r w:rsidR="00666B07">
        <w:t>shows</w:t>
      </w:r>
      <w:r w:rsidR="001453E8">
        <w:t xml:space="preserve"> actual measured training times obtained as </w:t>
      </w:r>
      <w:r w:rsidR="00666B07">
        <w:t>more</w:t>
      </w:r>
      <w:r w:rsidR="001453E8">
        <w:t xml:space="preserve"> </w:t>
      </w:r>
      <w:r w:rsidR="00666B07">
        <w:t>training data is used</w:t>
      </w:r>
      <w:r w:rsidR="001453E8">
        <w:t>. These plots are then extrapolated to show the theoretical training time for a much larger corpus such as FISHER</w:t>
      </w:r>
      <w:r w:rsidR="004A002E">
        <w:t xml:space="preserve"> </w:t>
      </w:r>
      <w:r w:rsidR="004A002E">
        <w:fldChar w:fldCharType="begin"/>
      </w:r>
      <w:r w:rsidR="004A002E">
        <w:instrText xml:space="preserve"> REF _Ref351474303 \r </w:instrText>
      </w:r>
      <w:r w:rsidR="004A002E">
        <w:fldChar w:fldCharType="separate"/>
      </w:r>
      <w:r w:rsidR="004A002E">
        <w:t>[13]</w:t>
      </w:r>
      <w:r w:rsidR="004A002E">
        <w:fldChar w:fldCharType="end"/>
      </w:r>
      <w:r w:rsidR="001453E8">
        <w:t>.</w:t>
      </w:r>
    </w:p>
    <w:p w14:paraId="0DC4F40C" w14:textId="0B7E4667" w:rsidR="006046BA" w:rsidRPr="00F330FA" w:rsidRDefault="0043135C">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Pr="00160B08">
        <w:t xml:space="preserve">Table </w:t>
      </w:r>
      <w:r>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will </w:t>
      </w:r>
      <w:r w:rsidR="00666B07">
        <w:t>linearly increase 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E64730">
        <w:t xml:space="preserve">Figure </w:t>
      </w:r>
      <w:r w:rsidR="00E64730">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FISHER.</w:t>
      </w:r>
    </w:p>
    <w:p w14:paraId="5C8EB76B" w14:textId="77777777" w:rsidR="00081F82" w:rsidRDefault="00347D69" w:rsidP="00B04E65">
      <w:pPr>
        <w:pStyle w:val="Heading1"/>
      </w:pPr>
      <w:r>
        <w:t xml:space="preserve"> </w:t>
      </w:r>
      <w:r w:rsidR="00081F82">
        <w:t>Conclusions</w:t>
      </w:r>
    </w:p>
    <w:p w14:paraId="0A42A034" w14:textId="0D753FC5"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439ED710" w:rsidR="008B60F6" w:rsidRDefault="004C7659" w:rsidP="009D53E5">
      <w:pPr>
        <w:pStyle w:val="BodyTextNext"/>
      </w:pPr>
      <w:r>
        <w:rPr>
          <w:noProof/>
        </w:rPr>
        <mc:AlternateContent>
          <mc:Choice Requires="wps">
            <w:drawing>
              <wp:anchor distT="0" distB="91440" distL="114300" distR="114300" simplePos="0" relativeHeight="251663872" behindDoc="0" locked="0" layoutInCell="0" allowOverlap="0" wp14:anchorId="602A2D64" wp14:editId="161CD17B">
                <wp:simplePos x="724535" y="2760345"/>
                <wp:positionH relativeFrom="margin">
                  <wp:align>left</wp:align>
                </wp:positionH>
                <wp:positionV relativeFrom="margin">
                  <wp:align>bottom</wp:align>
                </wp:positionV>
                <wp:extent cx="2837815" cy="2162175"/>
                <wp:effectExtent l="0" t="0" r="63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3"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3"/>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incell="f"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4"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4"/>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BC00C0">
        <w:t xml:space="preserve">CVSB and CDP have optimal truncation levels between 4 and 10 for speech data and can perform well on small corpora such as TIMIT. </w:t>
      </w:r>
      <w:r w:rsidR="002D39AD">
        <w:t>However,</w:t>
      </w:r>
      <w:r w:rsidR="00161B6C">
        <w:t xml:space="preserve"> </w:t>
      </w:r>
      <w:r w:rsidR="009D53E5">
        <w:t>AVDPM is</w:t>
      </w:r>
      <w:r w:rsidR="009D53E5">
        <w:t xml:space="preserve"> best suited to acoustic modeling since controlling KD tree depth allows for the tradeoff between accuracy with available computational resources, thereby making training on large corpora possible.</w:t>
      </w:r>
      <w:r w:rsidR="009D53E5">
        <w:t xml:space="preserve"> A</w:t>
      </w:r>
      <w:r w:rsidR="00BC00C0">
        <w:t xml:space="preserve">n initial depth of 4 for </w:t>
      </w:r>
      <w:r w:rsidR="00161B6C">
        <w:t xml:space="preserve">AVDPM </w:t>
      </w:r>
      <w:r w:rsidR="00BC00C0">
        <w:t>yields optimal, or very near optimal, results for data ranging from read speech in clean recording environments to noisy conversational telephone speech. Furth</w:t>
      </w:r>
      <w:r w:rsidR="009D53E5">
        <w:t>ermore, this algorithm is significantly less affected by the</w:t>
      </w:r>
      <w:r w:rsidR="00BC00C0">
        <w:t xml:space="preserve"> amount of training data and is theoretically able to train large corpora </w:t>
      </w:r>
      <w:r w:rsidR="009D53E5">
        <w:t xml:space="preserve">orders of magnitude faster than </w:t>
      </w:r>
      <w:proofErr w:type="gramStart"/>
      <w:r w:rsidR="009D53E5">
        <w:t>CVSB or CDP.</w:t>
      </w:r>
      <w:proofErr w:type="gramEnd"/>
      <w:r w:rsidR="00BC00C0">
        <w:t xml:space="preserve"> </w:t>
      </w:r>
    </w:p>
    <w:p w14:paraId="55264991" w14:textId="011369B1" w:rsidR="0004128C" w:rsidRDefault="0004128C" w:rsidP="00B04E65">
      <w:pPr>
        <w:pStyle w:val="Heading1"/>
      </w:pPr>
      <w:r>
        <w:t>Acknowledgements</w:t>
      </w:r>
    </w:p>
    <w:p w14:paraId="38E11E16" w14:textId="77777777" w:rsidR="0004128C" w:rsidRPr="0004128C" w:rsidRDefault="0004128C" w:rsidP="0004128C">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77777777" w:rsidR="00EE28EB" w:rsidRPr="0033735D" w:rsidRDefault="00EE28EB" w:rsidP="00B04E65">
      <w:pPr>
        <w:pStyle w:val="Heading1"/>
      </w:pPr>
      <w:r w:rsidRPr="0033735D">
        <w:lastRenderedPageBreak/>
        <w:t>References</w:t>
      </w:r>
    </w:p>
    <w:p w14:paraId="4F7CF78C" w14:textId="77777777" w:rsidR="004F2931" w:rsidRDefault="004F2931" w:rsidP="004F2931">
      <w:pPr>
        <w:pStyle w:val="Reference"/>
        <w:rPr>
          <w:sz w:val="16"/>
          <w:szCs w:val="16"/>
        </w:rPr>
      </w:pPr>
      <w:bookmarkStart w:id="15" w:name="_Ref349238807"/>
      <w:bookmarkStart w:id="16" w:name="_Ref131087840"/>
      <w:r w:rsidRPr="004F2931">
        <w:rPr>
          <w:sz w:val="16"/>
          <w:szCs w:val="16"/>
        </w:rPr>
        <w:t xml:space="preserve">Kurihara, K., Welling, M., &amp; Teh, Y. W. </w:t>
      </w:r>
      <w:r>
        <w:rPr>
          <w:sz w:val="16"/>
          <w:szCs w:val="16"/>
        </w:rPr>
        <w:t>“</w:t>
      </w:r>
      <w:r w:rsidRPr="004F2931">
        <w:rPr>
          <w:sz w:val="16"/>
          <w:szCs w:val="16"/>
        </w:rPr>
        <w:t xml:space="preserve">Collapsed </w:t>
      </w:r>
      <w:r w:rsidR="0005164D">
        <w:rPr>
          <w:sz w:val="16"/>
          <w:szCs w:val="16"/>
        </w:rPr>
        <w:t>v</w:t>
      </w:r>
      <w:r w:rsidRPr="004F2931">
        <w:rPr>
          <w:sz w:val="16"/>
          <w:szCs w:val="16"/>
        </w:rPr>
        <w:t>ariational D</w:t>
      </w:r>
      <w:r>
        <w:rPr>
          <w:sz w:val="16"/>
          <w:szCs w:val="16"/>
        </w:rPr>
        <w:t xml:space="preserve">irichlet </w:t>
      </w:r>
      <w:r w:rsidR="0005164D">
        <w:rPr>
          <w:sz w:val="16"/>
          <w:szCs w:val="16"/>
        </w:rPr>
        <w:t>p</w:t>
      </w:r>
      <w:r>
        <w:rPr>
          <w:sz w:val="16"/>
          <w:szCs w:val="16"/>
        </w:rPr>
        <w:t>rocess</w:t>
      </w:r>
      <w:r w:rsidR="0005164D">
        <w:rPr>
          <w:sz w:val="16"/>
          <w:szCs w:val="16"/>
        </w:rPr>
        <w:t xml:space="preserve"> m</w:t>
      </w:r>
      <w:r>
        <w:rPr>
          <w:sz w:val="16"/>
          <w:szCs w:val="16"/>
        </w:rPr>
        <w:t xml:space="preserve">ixture </w:t>
      </w:r>
      <w:r w:rsidR="0005164D">
        <w:rPr>
          <w:sz w:val="16"/>
          <w:szCs w:val="16"/>
        </w:rPr>
        <w:t>m</w:t>
      </w:r>
      <w:r>
        <w:rPr>
          <w:sz w:val="16"/>
          <w:szCs w:val="16"/>
        </w:rPr>
        <w:t>odels”</w:t>
      </w:r>
      <w:r w:rsidRPr="004F2931">
        <w:rPr>
          <w:sz w:val="16"/>
          <w:szCs w:val="16"/>
        </w:rPr>
        <w:t xml:space="preserve"> Twentieth International Joint Conference on Artificial Intelligence</w:t>
      </w:r>
      <w:r>
        <w:rPr>
          <w:sz w:val="16"/>
          <w:szCs w:val="16"/>
        </w:rPr>
        <w:t>, 2007</w:t>
      </w:r>
      <w:r w:rsidRPr="004F2931">
        <w:rPr>
          <w:sz w:val="16"/>
          <w:szCs w:val="16"/>
        </w:rPr>
        <w:t>.</w:t>
      </w:r>
      <w:bookmarkEnd w:id="15"/>
    </w:p>
    <w:p w14:paraId="083190FA" w14:textId="77777777" w:rsidR="00D72804" w:rsidRDefault="009D2BF2" w:rsidP="002866BF">
      <w:pPr>
        <w:pStyle w:val="Reference"/>
        <w:rPr>
          <w:sz w:val="16"/>
          <w:szCs w:val="16"/>
        </w:rPr>
      </w:pPr>
      <w:bookmarkStart w:id="17" w:name="_Ref349238832"/>
      <w:r w:rsidRPr="009D2BF2">
        <w:rPr>
          <w:sz w:val="16"/>
          <w:szCs w:val="16"/>
        </w:rPr>
        <w:t xml:space="preserve">Kurihara, K., Welling, M., &amp; Vlassis, N. </w:t>
      </w:r>
      <w:r>
        <w:rPr>
          <w:sz w:val="16"/>
          <w:szCs w:val="16"/>
        </w:rPr>
        <w:t>“</w:t>
      </w:r>
      <w:r w:rsidRPr="009D2BF2">
        <w:rPr>
          <w:sz w:val="16"/>
          <w:szCs w:val="16"/>
        </w:rPr>
        <w:t xml:space="preserve">Accelerated </w:t>
      </w:r>
      <w:r w:rsidR="0005164D">
        <w:rPr>
          <w:sz w:val="16"/>
          <w:szCs w:val="16"/>
        </w:rPr>
        <w:t>v</w:t>
      </w:r>
      <w:r w:rsidRPr="009D2BF2">
        <w:rPr>
          <w:sz w:val="16"/>
          <w:szCs w:val="16"/>
        </w:rPr>
        <w:t xml:space="preserve">ariational Dirichlet </w:t>
      </w:r>
      <w:r w:rsidR="0005164D">
        <w:rPr>
          <w:sz w:val="16"/>
          <w:szCs w:val="16"/>
        </w:rPr>
        <w:t>process m</w:t>
      </w:r>
      <w:r w:rsidRPr="009D2BF2">
        <w:rPr>
          <w:sz w:val="16"/>
          <w:szCs w:val="16"/>
        </w:rPr>
        <w:t>ixtures</w:t>
      </w:r>
      <w:r>
        <w:rPr>
          <w:sz w:val="16"/>
          <w:szCs w:val="16"/>
        </w:rPr>
        <w:t>”</w:t>
      </w:r>
      <w:r w:rsidRPr="009D2BF2">
        <w:rPr>
          <w:sz w:val="16"/>
          <w:szCs w:val="16"/>
        </w:rPr>
        <w:t xml:space="preserve"> NIPS</w:t>
      </w:r>
      <w:r>
        <w:rPr>
          <w:sz w:val="16"/>
          <w:szCs w:val="16"/>
        </w:rPr>
        <w:t>, 2006</w:t>
      </w:r>
      <w:r w:rsidRPr="009D2BF2">
        <w:rPr>
          <w:sz w:val="16"/>
          <w:szCs w:val="16"/>
        </w:rPr>
        <w:t>.</w:t>
      </w:r>
      <w:bookmarkEnd w:id="17"/>
    </w:p>
    <w:p w14:paraId="7093757F" w14:textId="77777777" w:rsidR="002866BF" w:rsidRDefault="002866BF" w:rsidP="002866BF">
      <w:pPr>
        <w:pStyle w:val="Reference"/>
        <w:rPr>
          <w:sz w:val="16"/>
          <w:szCs w:val="16"/>
        </w:rPr>
      </w:pPr>
      <w:bookmarkStart w:id="18" w:name="_Ref349483555"/>
      <w:r w:rsidRPr="0005164D">
        <w:rPr>
          <w:sz w:val="16"/>
          <w:szCs w:val="16"/>
        </w:rPr>
        <w:t xml:space="preserve">Neal, R. </w:t>
      </w:r>
      <w:r>
        <w:rPr>
          <w:sz w:val="16"/>
          <w:szCs w:val="16"/>
        </w:rPr>
        <w:t>“Bayesian m</w:t>
      </w:r>
      <w:r w:rsidRPr="0005164D">
        <w:rPr>
          <w:sz w:val="16"/>
          <w:szCs w:val="16"/>
        </w:rPr>
        <w:t xml:space="preserve">ixture </w:t>
      </w:r>
      <w:r>
        <w:rPr>
          <w:sz w:val="16"/>
          <w:szCs w:val="16"/>
        </w:rPr>
        <w:t>modeling by Monte Carlo s</w:t>
      </w:r>
      <w:r w:rsidRPr="0005164D">
        <w:rPr>
          <w:sz w:val="16"/>
          <w:szCs w:val="16"/>
        </w:rPr>
        <w:t>imulation</w:t>
      </w:r>
      <w:r>
        <w:rPr>
          <w:sz w:val="16"/>
          <w:szCs w:val="16"/>
        </w:rPr>
        <w:t>”</w:t>
      </w:r>
      <w:r w:rsidRPr="0005164D">
        <w:rPr>
          <w:sz w:val="16"/>
          <w:szCs w:val="16"/>
        </w:rPr>
        <w:t xml:space="preserve"> </w:t>
      </w:r>
      <w:r>
        <w:rPr>
          <w:sz w:val="16"/>
          <w:szCs w:val="16"/>
        </w:rPr>
        <w:t xml:space="preserve">Dept. Comp. Sci., University of Toronto Rep. CRG TR 91 2, </w:t>
      </w:r>
      <w:r w:rsidRPr="0005164D">
        <w:rPr>
          <w:sz w:val="16"/>
          <w:szCs w:val="16"/>
        </w:rPr>
        <w:t>1991</w:t>
      </w:r>
      <w:bookmarkEnd w:id="18"/>
    </w:p>
    <w:p w14:paraId="288A7BB2" w14:textId="77777777" w:rsidR="003A79F3" w:rsidRPr="00460CC4" w:rsidRDefault="003A79F3" w:rsidP="003A79F3">
      <w:pPr>
        <w:pStyle w:val="Reference"/>
        <w:rPr>
          <w:sz w:val="16"/>
          <w:szCs w:val="16"/>
        </w:rPr>
      </w:pPr>
      <w:bookmarkStart w:id="19" w:name="_Ref349996341"/>
      <w:r w:rsidRPr="00460CC4">
        <w:rPr>
          <w:sz w:val="16"/>
          <w:szCs w:val="16"/>
        </w:rPr>
        <w:t xml:space="preserve">Paisley, J., “Machine Learning with Dirichlet and Beta Process Priors: Theory and Applications.” Ph.D. dissertation, Dept. </w:t>
      </w:r>
      <w:bookmarkStart w:id="20" w:name="_GoBack"/>
      <w:bookmarkEnd w:id="20"/>
      <w:r w:rsidRPr="00460CC4">
        <w:rPr>
          <w:sz w:val="16"/>
          <w:szCs w:val="16"/>
        </w:rPr>
        <w:t>Elect. Eng., Duke Univ.</w:t>
      </w:r>
      <w:bookmarkEnd w:id="19"/>
      <w:r w:rsidRPr="00460CC4">
        <w:rPr>
          <w:sz w:val="16"/>
          <w:szCs w:val="16"/>
        </w:rPr>
        <w:t xml:space="preserve"> NC, 2010</w:t>
      </w:r>
    </w:p>
    <w:p w14:paraId="40E4E74E" w14:textId="35487169" w:rsidR="003A79F3" w:rsidRPr="003A79F3" w:rsidRDefault="003A79F3" w:rsidP="003A79F3">
      <w:pPr>
        <w:pStyle w:val="Reference"/>
        <w:rPr>
          <w:sz w:val="16"/>
          <w:szCs w:val="16"/>
        </w:rPr>
      </w:pPr>
      <w:bookmarkStart w:id="21" w:name="_Ref349996343"/>
      <w:r w:rsidRPr="00BC7918">
        <w:rPr>
          <w:sz w:val="16"/>
          <w:szCs w:val="16"/>
        </w:rPr>
        <w:t>Rasmussen, C. E. “The Infinite Gaussian Mixture Model.” NIPS (pp. 554–560). MIT Press.</w:t>
      </w:r>
      <w:bookmarkEnd w:id="21"/>
      <w:r w:rsidRPr="00BC7918">
        <w:rPr>
          <w:sz w:val="16"/>
          <w:szCs w:val="16"/>
        </w:rPr>
        <w:t xml:space="preserve"> 2000.</w:t>
      </w:r>
    </w:p>
    <w:p w14:paraId="640F8F8E" w14:textId="77777777" w:rsidR="001902A3" w:rsidRPr="00297187" w:rsidRDefault="00297187" w:rsidP="00297187">
      <w:pPr>
        <w:pStyle w:val="Reference"/>
        <w:rPr>
          <w:sz w:val="16"/>
          <w:szCs w:val="16"/>
        </w:rPr>
      </w:pPr>
      <w:bookmarkStart w:id="22" w:name="_Ref349484662"/>
      <w:r w:rsidRPr="00297187">
        <w:rPr>
          <w:sz w:val="16"/>
          <w:szCs w:val="16"/>
        </w:rPr>
        <w:t>Paul,</w:t>
      </w:r>
      <w:r>
        <w:rPr>
          <w:sz w:val="16"/>
          <w:szCs w:val="16"/>
        </w:rPr>
        <w:t xml:space="preserve"> L.M., </w:t>
      </w:r>
      <w:r w:rsidRPr="00297187">
        <w:rPr>
          <w:sz w:val="16"/>
          <w:szCs w:val="16"/>
        </w:rPr>
        <w:t>Simons</w:t>
      </w:r>
      <w:r>
        <w:rPr>
          <w:sz w:val="16"/>
          <w:szCs w:val="16"/>
        </w:rPr>
        <w:t>, G.F.</w:t>
      </w:r>
      <w:r w:rsidRPr="00297187">
        <w:rPr>
          <w:sz w:val="16"/>
          <w:szCs w:val="16"/>
        </w:rPr>
        <w:t>, Fennig</w:t>
      </w:r>
      <w:r>
        <w:rPr>
          <w:sz w:val="16"/>
          <w:szCs w:val="16"/>
        </w:rPr>
        <w:t>, C.D.,</w:t>
      </w:r>
      <w:r w:rsidRPr="00297187">
        <w:rPr>
          <w:sz w:val="16"/>
          <w:szCs w:val="16"/>
        </w:rPr>
        <w:t xml:space="preserve"> (</w:t>
      </w:r>
      <w:r>
        <w:rPr>
          <w:sz w:val="16"/>
          <w:szCs w:val="16"/>
        </w:rPr>
        <w:t>2013)</w:t>
      </w:r>
      <w:r w:rsidRPr="00297187">
        <w:rPr>
          <w:sz w:val="16"/>
          <w:szCs w:val="16"/>
        </w:rPr>
        <w:t xml:space="preserve">. </w:t>
      </w:r>
      <w:r>
        <w:rPr>
          <w:sz w:val="16"/>
          <w:szCs w:val="16"/>
        </w:rPr>
        <w:t>“</w:t>
      </w:r>
      <w:r w:rsidRPr="00297187">
        <w:rPr>
          <w:sz w:val="16"/>
          <w:szCs w:val="16"/>
        </w:rPr>
        <w:t>Ethnologue: Languages of the World</w:t>
      </w:r>
      <w:r>
        <w:rPr>
          <w:sz w:val="16"/>
          <w:szCs w:val="16"/>
        </w:rPr>
        <w:t>”</w:t>
      </w:r>
      <w:r w:rsidRPr="00297187">
        <w:rPr>
          <w:sz w:val="16"/>
          <w:szCs w:val="16"/>
        </w:rPr>
        <w:t xml:space="preserve">, </w:t>
      </w:r>
      <w:r w:rsidRPr="00297187">
        <w:rPr>
          <w:i/>
          <w:sz w:val="16"/>
          <w:szCs w:val="16"/>
        </w:rPr>
        <w:t>Ethnologue</w:t>
      </w:r>
      <w:r>
        <w:rPr>
          <w:sz w:val="16"/>
          <w:szCs w:val="16"/>
        </w:rPr>
        <w:t xml:space="preserve"> [online]. 17th</w:t>
      </w:r>
      <w:r w:rsidRPr="00297187">
        <w:rPr>
          <w:sz w:val="16"/>
          <w:szCs w:val="16"/>
        </w:rPr>
        <w:t xml:space="preserve"> ed. </w:t>
      </w:r>
      <w:r>
        <w:rPr>
          <w:sz w:val="16"/>
          <w:szCs w:val="16"/>
        </w:rPr>
        <w:t>Available</w:t>
      </w:r>
      <w:r w:rsidRPr="00297187">
        <w:rPr>
          <w:sz w:val="16"/>
          <w:szCs w:val="16"/>
        </w:rPr>
        <w:t xml:space="preserve">: </w:t>
      </w:r>
      <w:r>
        <w:rPr>
          <w:sz w:val="16"/>
          <w:szCs w:val="16"/>
        </w:rPr>
        <w:br/>
      </w:r>
      <w:r w:rsidRPr="00297187">
        <w:rPr>
          <w:sz w:val="16"/>
          <w:szCs w:val="16"/>
        </w:rPr>
        <w:t>http://www.ethnologue.com.</w:t>
      </w:r>
      <w:bookmarkEnd w:id="22"/>
    </w:p>
    <w:p w14:paraId="4A2FB1D9" w14:textId="77777777" w:rsidR="00D61252" w:rsidRPr="00460CC4" w:rsidRDefault="00460CC4" w:rsidP="00D61252">
      <w:pPr>
        <w:pStyle w:val="Reference"/>
        <w:rPr>
          <w:sz w:val="16"/>
          <w:szCs w:val="16"/>
        </w:rPr>
      </w:pPr>
      <w:bookmarkStart w:id="23" w:name="_Ref349918404"/>
      <w:r w:rsidRPr="00460CC4">
        <w:rPr>
          <w:sz w:val="16"/>
          <w:szCs w:val="16"/>
        </w:rPr>
        <w:t xml:space="preserve">NIST, (2009). </w:t>
      </w:r>
      <w:r w:rsidR="00D61252" w:rsidRPr="00460CC4">
        <w:rPr>
          <w:sz w:val="16"/>
          <w:szCs w:val="16"/>
        </w:rPr>
        <w:t>“The History of Automatic Speech Recognition Evaluations at NIST,”</w:t>
      </w:r>
      <w:r w:rsidRPr="00460CC4">
        <w:rPr>
          <w:sz w:val="16"/>
          <w:szCs w:val="16"/>
        </w:rPr>
        <w:t xml:space="preserve"> Available:</w:t>
      </w:r>
      <w:r w:rsidR="00D61252" w:rsidRPr="00460CC4">
        <w:rPr>
          <w:sz w:val="16"/>
          <w:szCs w:val="16"/>
        </w:rPr>
        <w:t xml:space="preserve"> </w:t>
      </w:r>
      <w:hyperlink r:id="rId25" w:history="1">
        <w:r w:rsidR="001B3DDA" w:rsidRPr="00460CC4">
          <w:rPr>
            <w:rStyle w:val="Hyperlink"/>
            <w:rFonts w:ascii="Times New Roman" w:hAnsi="Times New Roman" w:cs="Times New Roman"/>
            <w:sz w:val="16"/>
            <w:szCs w:val="16"/>
          </w:rPr>
          <w:t>http://www.itl.nist.gov/iad/mig/publications/ASRhistory/index.html</w:t>
        </w:r>
      </w:hyperlink>
      <w:bookmarkEnd w:id="23"/>
    </w:p>
    <w:p w14:paraId="4EADC102" w14:textId="3922DE35" w:rsidR="003A79F3" w:rsidRPr="003A79F3" w:rsidRDefault="003A79F3" w:rsidP="003A79F3">
      <w:pPr>
        <w:pStyle w:val="Reference"/>
        <w:rPr>
          <w:sz w:val="16"/>
          <w:szCs w:val="16"/>
        </w:rPr>
      </w:pPr>
      <w:bookmarkStart w:id="24" w:name="_Ref351102249"/>
      <w:bookmarkStart w:id="25" w:name="_Ref350448118"/>
      <w:proofErr w:type="spellStart"/>
      <w:proofErr w:type="gramStart"/>
      <w:r w:rsidRPr="00460CC4">
        <w:rPr>
          <w:sz w:val="16"/>
          <w:szCs w:val="16"/>
        </w:rPr>
        <w:t>Gu</w:t>
      </w:r>
      <w:proofErr w:type="spellEnd"/>
      <w:proofErr w:type="gramEnd"/>
      <w:r w:rsidRPr="00460CC4">
        <w:rPr>
          <w:sz w:val="16"/>
          <w:szCs w:val="16"/>
        </w:rPr>
        <w:t xml:space="preserve">, W., Hirose, K., Fujisaki, H.  “Comparison of Perceived Prosodic Boundaries and Global </w:t>
      </w:r>
      <w:r w:rsidRPr="00460CC4">
        <w:rPr>
          <w:sz w:val="16"/>
          <w:szCs w:val="16"/>
        </w:rPr>
        <w:tab/>
        <w:t xml:space="preserve">Characteristics of Voice Fundamental Frequency Contours in Mandarin Speech”, ISCSLP, </w:t>
      </w:r>
      <w:r w:rsidRPr="00460CC4">
        <w:rPr>
          <w:sz w:val="16"/>
          <w:szCs w:val="16"/>
        </w:rPr>
        <w:tab/>
        <w:t>2006.</w:t>
      </w:r>
      <w:bookmarkEnd w:id="24"/>
    </w:p>
    <w:p w14:paraId="5F255E85" w14:textId="77777777" w:rsidR="00BE7895" w:rsidRPr="00BC7918" w:rsidRDefault="00BC7918" w:rsidP="00B24C82">
      <w:pPr>
        <w:pStyle w:val="Reference"/>
        <w:rPr>
          <w:sz w:val="16"/>
          <w:szCs w:val="16"/>
        </w:rPr>
      </w:pPr>
      <w:bookmarkStart w:id="26" w:name="_Ref351103242"/>
      <w:proofErr w:type="spellStart"/>
      <w:r w:rsidRPr="00BC7918">
        <w:rPr>
          <w:sz w:val="16"/>
          <w:szCs w:val="16"/>
        </w:rPr>
        <w:t>Blei</w:t>
      </w:r>
      <w:proofErr w:type="spellEnd"/>
      <w:r w:rsidRPr="00BC7918">
        <w:rPr>
          <w:sz w:val="16"/>
          <w:szCs w:val="16"/>
        </w:rPr>
        <w:t>, D. M.,</w:t>
      </w:r>
      <w:r w:rsidR="00B24C82" w:rsidRPr="00BC7918">
        <w:rPr>
          <w:sz w:val="16"/>
          <w:szCs w:val="16"/>
        </w:rPr>
        <w:t xml:space="preserve"> Jordan, M. I. </w:t>
      </w:r>
      <w:r w:rsidRPr="00BC7918">
        <w:rPr>
          <w:sz w:val="16"/>
          <w:szCs w:val="16"/>
        </w:rPr>
        <w:t>“</w:t>
      </w:r>
      <w:r w:rsidR="00B24C82" w:rsidRPr="00BC7918">
        <w:rPr>
          <w:sz w:val="16"/>
          <w:szCs w:val="16"/>
        </w:rPr>
        <w:t>Variational inference for Dirichlet process mixtures.</w:t>
      </w:r>
      <w:r w:rsidRPr="00BC7918">
        <w:rPr>
          <w:sz w:val="16"/>
          <w:szCs w:val="16"/>
        </w:rPr>
        <w:t>”</w:t>
      </w:r>
      <w:r w:rsidR="00B24C82" w:rsidRPr="00BC7918">
        <w:rPr>
          <w:sz w:val="16"/>
          <w:szCs w:val="16"/>
        </w:rPr>
        <w:t xml:space="preserve"> Bayesian Analysis, 1(1), 121–143.</w:t>
      </w:r>
      <w:r w:rsidRPr="00BC7918">
        <w:rPr>
          <w:sz w:val="16"/>
          <w:szCs w:val="16"/>
        </w:rPr>
        <w:t xml:space="preserve"> 2006.</w:t>
      </w:r>
      <w:r w:rsidR="00B24C82" w:rsidRPr="00BC7918">
        <w:rPr>
          <w:sz w:val="16"/>
          <w:szCs w:val="16"/>
        </w:rPr>
        <w:t xml:space="preserve"> doi:10.1214/06-BA104</w:t>
      </w:r>
      <w:bookmarkEnd w:id="25"/>
      <w:bookmarkEnd w:id="26"/>
    </w:p>
    <w:p w14:paraId="37A7F460" w14:textId="77777777" w:rsidR="00B24C82" w:rsidRPr="00BC7918" w:rsidRDefault="00BC7918" w:rsidP="00632BED">
      <w:pPr>
        <w:pStyle w:val="Reference"/>
        <w:rPr>
          <w:sz w:val="16"/>
          <w:szCs w:val="16"/>
        </w:rPr>
      </w:pPr>
      <w:bookmarkStart w:id="27" w:name="_Ref350518527"/>
      <w:r w:rsidRPr="00BC7918">
        <w:rPr>
          <w:sz w:val="16"/>
          <w:szCs w:val="16"/>
        </w:rPr>
        <w:t>Lee, K. F., &amp; Hon, H.</w:t>
      </w:r>
      <w:r w:rsidR="00632BED" w:rsidRPr="00BC7918">
        <w:rPr>
          <w:sz w:val="16"/>
          <w:szCs w:val="16"/>
        </w:rPr>
        <w:t xml:space="preserve">W. </w:t>
      </w:r>
      <w:r w:rsidRPr="00BC7918">
        <w:rPr>
          <w:sz w:val="16"/>
          <w:szCs w:val="16"/>
        </w:rPr>
        <w:t>“</w:t>
      </w:r>
      <w:r w:rsidR="00632BED" w:rsidRPr="00BC7918">
        <w:rPr>
          <w:sz w:val="16"/>
          <w:szCs w:val="16"/>
        </w:rPr>
        <w:t>Speaker-independent phone recognition using hidden Markov models.</w:t>
      </w:r>
      <w:r w:rsidRPr="00BC7918">
        <w:rPr>
          <w:sz w:val="16"/>
          <w:szCs w:val="16"/>
        </w:rPr>
        <w:t>”</w:t>
      </w:r>
      <w:r w:rsidR="00632BED" w:rsidRPr="00BC7918">
        <w:rPr>
          <w:sz w:val="16"/>
          <w:szCs w:val="16"/>
        </w:rPr>
        <w:t xml:space="preserve"> IEEE Transactions on Acoustics, Speech, and Signal Processing, 37(11), 1641–1648. </w:t>
      </w:r>
      <w:r w:rsidRPr="00BC7918">
        <w:rPr>
          <w:sz w:val="16"/>
          <w:szCs w:val="16"/>
        </w:rPr>
        <w:t xml:space="preserve">1989. </w:t>
      </w:r>
      <w:r w:rsidR="00632BED" w:rsidRPr="00BC7918">
        <w:rPr>
          <w:sz w:val="16"/>
          <w:szCs w:val="16"/>
        </w:rPr>
        <w:t>doi:10.1109/29.46546</w:t>
      </w:r>
      <w:bookmarkEnd w:id="27"/>
    </w:p>
    <w:p w14:paraId="4156DB78" w14:textId="77777777" w:rsidR="00632BED" w:rsidRPr="00BE142B" w:rsidRDefault="00632BED" w:rsidP="00632BED">
      <w:pPr>
        <w:pStyle w:val="Reference"/>
        <w:rPr>
          <w:sz w:val="16"/>
          <w:szCs w:val="16"/>
        </w:rPr>
      </w:pPr>
      <w:bookmarkStart w:id="28" w:name="_Ref350518544"/>
      <w:r w:rsidRPr="00BC7918">
        <w:rPr>
          <w:sz w:val="16"/>
          <w:szCs w:val="16"/>
        </w:rPr>
        <w:t xml:space="preserve">Halberstadt, A., &amp; Glass, J. </w:t>
      </w:r>
      <w:r w:rsidR="00BC7918" w:rsidRPr="00BC7918">
        <w:rPr>
          <w:sz w:val="16"/>
          <w:szCs w:val="16"/>
        </w:rPr>
        <w:t>“</w:t>
      </w:r>
      <w:r w:rsidRPr="00BC7918">
        <w:rPr>
          <w:sz w:val="16"/>
          <w:szCs w:val="16"/>
        </w:rPr>
        <w:t>Heterogeneous acoustic measurements for phonetic classificatio</w:t>
      </w:r>
      <w:r w:rsidRPr="00BE142B">
        <w:rPr>
          <w:sz w:val="16"/>
          <w:szCs w:val="16"/>
        </w:rPr>
        <w:t>n.</w:t>
      </w:r>
      <w:r w:rsidR="00BC7918" w:rsidRPr="00BE142B">
        <w:rPr>
          <w:sz w:val="16"/>
          <w:szCs w:val="16"/>
        </w:rPr>
        <w:t>”</w:t>
      </w:r>
      <w:r w:rsidRPr="00BE142B">
        <w:rPr>
          <w:sz w:val="16"/>
          <w:szCs w:val="16"/>
        </w:rPr>
        <w:t xml:space="preserve"> Proceed</w:t>
      </w:r>
      <w:r w:rsidR="00BC7918" w:rsidRPr="00BE142B">
        <w:rPr>
          <w:sz w:val="16"/>
          <w:szCs w:val="16"/>
        </w:rPr>
        <w:t>ings of Eurospeech 401–404</w:t>
      </w:r>
      <w:r w:rsidRPr="00BE142B">
        <w:rPr>
          <w:sz w:val="16"/>
          <w:szCs w:val="16"/>
        </w:rPr>
        <w:t>.</w:t>
      </w:r>
      <w:bookmarkEnd w:id="28"/>
      <w:r w:rsidR="00BC7918" w:rsidRPr="00BE142B">
        <w:rPr>
          <w:sz w:val="16"/>
          <w:szCs w:val="16"/>
        </w:rPr>
        <w:t xml:space="preserve"> 1997.</w:t>
      </w:r>
    </w:p>
    <w:p w14:paraId="3C2E6735" w14:textId="77777777" w:rsidR="00632BED" w:rsidRDefault="00BC7918" w:rsidP="003D2457">
      <w:pPr>
        <w:pStyle w:val="Reference"/>
        <w:rPr>
          <w:sz w:val="16"/>
          <w:szCs w:val="16"/>
        </w:rPr>
      </w:pPr>
      <w:bookmarkStart w:id="29" w:name="_Ref350518546"/>
      <w:r w:rsidRPr="00BE142B">
        <w:rPr>
          <w:sz w:val="16"/>
          <w:szCs w:val="16"/>
        </w:rPr>
        <w:t>Ager, M., Cvetkovic, Z., Sollich, P. “</w:t>
      </w:r>
      <w:r w:rsidR="00632BED" w:rsidRPr="00BE142B">
        <w:rPr>
          <w:sz w:val="16"/>
          <w:szCs w:val="16"/>
        </w:rPr>
        <w:t>Robust phoneme classification: Exploiting the adaptability of acoustic waveform models.</w:t>
      </w:r>
      <w:r w:rsidRPr="00BE142B">
        <w:rPr>
          <w:sz w:val="16"/>
          <w:szCs w:val="16"/>
        </w:rPr>
        <w:t>”</w:t>
      </w:r>
      <w:r w:rsidR="00632BED" w:rsidRPr="00BE142B">
        <w:rPr>
          <w:sz w:val="16"/>
          <w:szCs w:val="16"/>
        </w:rPr>
        <w:t xml:space="preserve"> EUSIPCO.</w:t>
      </w:r>
      <w:bookmarkEnd w:id="29"/>
      <w:r w:rsidRPr="00BE142B">
        <w:rPr>
          <w:sz w:val="16"/>
          <w:szCs w:val="16"/>
        </w:rPr>
        <w:t xml:space="preserve"> 2009.</w:t>
      </w:r>
    </w:p>
    <w:p w14:paraId="51B4D62E" w14:textId="57A68E05" w:rsidR="001453E8" w:rsidRPr="00BE142B" w:rsidRDefault="001453E8" w:rsidP="001453E8">
      <w:pPr>
        <w:pStyle w:val="Reference"/>
        <w:rPr>
          <w:sz w:val="16"/>
          <w:szCs w:val="16"/>
        </w:rPr>
      </w:pPr>
      <w:bookmarkStart w:id="30" w:name="_Ref351474303"/>
      <w:proofErr w:type="spellStart"/>
      <w:r w:rsidRPr="001453E8">
        <w:rPr>
          <w:sz w:val="16"/>
          <w:szCs w:val="16"/>
        </w:rPr>
        <w:t>Cie</w:t>
      </w:r>
      <w:r>
        <w:rPr>
          <w:sz w:val="16"/>
          <w:szCs w:val="16"/>
        </w:rPr>
        <w:t>ri</w:t>
      </w:r>
      <w:proofErr w:type="spellEnd"/>
      <w:r>
        <w:rPr>
          <w:sz w:val="16"/>
          <w:szCs w:val="16"/>
        </w:rPr>
        <w:t>, C., Miller, D., &amp; Walker, K</w:t>
      </w:r>
      <w:r w:rsidRPr="001453E8">
        <w:rPr>
          <w:sz w:val="16"/>
          <w:szCs w:val="16"/>
        </w:rPr>
        <w:t xml:space="preserve">. </w:t>
      </w:r>
      <w:r>
        <w:rPr>
          <w:sz w:val="16"/>
          <w:szCs w:val="16"/>
        </w:rPr>
        <w:t>“</w:t>
      </w:r>
      <w:r w:rsidRPr="001453E8">
        <w:rPr>
          <w:sz w:val="16"/>
          <w:szCs w:val="16"/>
        </w:rPr>
        <w:t>The Fisher Corpus: a Resource for the Next Generations of Speech-to-Text.</w:t>
      </w:r>
      <w:r>
        <w:rPr>
          <w:sz w:val="16"/>
          <w:szCs w:val="16"/>
        </w:rPr>
        <w:t>”</w:t>
      </w:r>
      <w:r w:rsidRPr="001453E8">
        <w:rPr>
          <w:sz w:val="16"/>
          <w:szCs w:val="16"/>
        </w:rPr>
        <w:t xml:space="preserve"> Proceedings of the International Conference on Language Resources and Evaluation (pp. 69–71). Lisbon, Portugal. </w:t>
      </w:r>
      <w:r>
        <w:rPr>
          <w:sz w:val="16"/>
          <w:szCs w:val="16"/>
        </w:rPr>
        <w:t xml:space="preserve">2004. </w:t>
      </w:r>
      <w:r w:rsidRPr="001453E8">
        <w:rPr>
          <w:sz w:val="16"/>
          <w:szCs w:val="16"/>
        </w:rPr>
        <w:t>doi:10.1.1.61.8327</w:t>
      </w:r>
      <w:bookmarkEnd w:id="30"/>
    </w:p>
    <w:bookmarkEnd w:id="16"/>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6"/>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A6B2" w14:textId="77777777" w:rsidR="000273F1" w:rsidRDefault="000273F1">
      <w:r>
        <w:separator/>
      </w:r>
    </w:p>
    <w:p w14:paraId="45B3F6F8" w14:textId="77777777" w:rsidR="000273F1" w:rsidRDefault="000273F1"/>
  </w:endnote>
  <w:endnote w:type="continuationSeparator" w:id="0">
    <w:p w14:paraId="0BAEE8DE" w14:textId="77777777" w:rsidR="000273F1" w:rsidRDefault="000273F1">
      <w:r>
        <w:continuationSeparator/>
      </w:r>
    </w:p>
    <w:p w14:paraId="50284764" w14:textId="77777777" w:rsidR="000273F1" w:rsidRDefault="00027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A73C" w14:textId="77777777" w:rsidR="000273F1" w:rsidRDefault="000273F1">
      <w:r>
        <w:separator/>
      </w:r>
    </w:p>
    <w:p w14:paraId="1A1861F8" w14:textId="77777777" w:rsidR="000273F1" w:rsidRDefault="000273F1"/>
  </w:footnote>
  <w:footnote w:type="continuationSeparator" w:id="0">
    <w:p w14:paraId="42361D86" w14:textId="77777777" w:rsidR="000273F1" w:rsidRDefault="000273F1">
      <w:r>
        <w:continuationSeparator/>
      </w:r>
    </w:p>
    <w:p w14:paraId="31178861" w14:textId="77777777" w:rsidR="000273F1" w:rsidRDefault="000273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DD8E24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3258"/>
    <w:rsid w:val="0012394B"/>
    <w:rsid w:val="00134273"/>
    <w:rsid w:val="001439AD"/>
    <w:rsid w:val="001453E8"/>
    <w:rsid w:val="0014563E"/>
    <w:rsid w:val="00146643"/>
    <w:rsid w:val="001468BA"/>
    <w:rsid w:val="001556DF"/>
    <w:rsid w:val="00160B08"/>
    <w:rsid w:val="00161B6C"/>
    <w:rsid w:val="00172538"/>
    <w:rsid w:val="0017426D"/>
    <w:rsid w:val="00175914"/>
    <w:rsid w:val="001902A3"/>
    <w:rsid w:val="001A7D8A"/>
    <w:rsid w:val="001B3DDA"/>
    <w:rsid w:val="001B6058"/>
    <w:rsid w:val="001C1A3E"/>
    <w:rsid w:val="001C3B2A"/>
    <w:rsid w:val="001D5867"/>
    <w:rsid w:val="00210860"/>
    <w:rsid w:val="002145F4"/>
    <w:rsid w:val="00226CAF"/>
    <w:rsid w:val="00231591"/>
    <w:rsid w:val="002359CC"/>
    <w:rsid w:val="00237401"/>
    <w:rsid w:val="0024262C"/>
    <w:rsid w:val="0024293B"/>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C27A9"/>
    <w:rsid w:val="002C27FC"/>
    <w:rsid w:val="002C46BB"/>
    <w:rsid w:val="002D3090"/>
    <w:rsid w:val="002D39AD"/>
    <w:rsid w:val="002D4C08"/>
    <w:rsid w:val="002E01ED"/>
    <w:rsid w:val="002E3347"/>
    <w:rsid w:val="0030121F"/>
    <w:rsid w:val="00324448"/>
    <w:rsid w:val="003265D9"/>
    <w:rsid w:val="003301BC"/>
    <w:rsid w:val="003331B0"/>
    <w:rsid w:val="00335322"/>
    <w:rsid w:val="00341D63"/>
    <w:rsid w:val="003437C9"/>
    <w:rsid w:val="00347D69"/>
    <w:rsid w:val="0035542C"/>
    <w:rsid w:val="00372416"/>
    <w:rsid w:val="00376E7B"/>
    <w:rsid w:val="00377012"/>
    <w:rsid w:val="00382759"/>
    <w:rsid w:val="0039059B"/>
    <w:rsid w:val="003919B4"/>
    <w:rsid w:val="00395DAE"/>
    <w:rsid w:val="003A1E82"/>
    <w:rsid w:val="003A238C"/>
    <w:rsid w:val="003A79F3"/>
    <w:rsid w:val="003B244E"/>
    <w:rsid w:val="003C634D"/>
    <w:rsid w:val="003D2457"/>
    <w:rsid w:val="003F36DC"/>
    <w:rsid w:val="003F78B7"/>
    <w:rsid w:val="004010BD"/>
    <w:rsid w:val="00403A05"/>
    <w:rsid w:val="0040436A"/>
    <w:rsid w:val="00410FC4"/>
    <w:rsid w:val="00413034"/>
    <w:rsid w:val="00423965"/>
    <w:rsid w:val="004276DF"/>
    <w:rsid w:val="0043135C"/>
    <w:rsid w:val="00435863"/>
    <w:rsid w:val="00435C14"/>
    <w:rsid w:val="00441D7B"/>
    <w:rsid w:val="00460CC4"/>
    <w:rsid w:val="0046515D"/>
    <w:rsid w:val="00476EAF"/>
    <w:rsid w:val="004964BE"/>
    <w:rsid w:val="004A002E"/>
    <w:rsid w:val="004A0974"/>
    <w:rsid w:val="004B2860"/>
    <w:rsid w:val="004B7EC1"/>
    <w:rsid w:val="004C4673"/>
    <w:rsid w:val="004C7659"/>
    <w:rsid w:val="004F217C"/>
    <w:rsid w:val="004F24A0"/>
    <w:rsid w:val="004F2931"/>
    <w:rsid w:val="005008EE"/>
    <w:rsid w:val="0051086F"/>
    <w:rsid w:val="00526205"/>
    <w:rsid w:val="0053095E"/>
    <w:rsid w:val="00544E5A"/>
    <w:rsid w:val="005557D4"/>
    <w:rsid w:val="005777D3"/>
    <w:rsid w:val="005856E1"/>
    <w:rsid w:val="00593170"/>
    <w:rsid w:val="005A37BD"/>
    <w:rsid w:val="005B04AD"/>
    <w:rsid w:val="005B4262"/>
    <w:rsid w:val="005B5F5F"/>
    <w:rsid w:val="005C6E74"/>
    <w:rsid w:val="005D6546"/>
    <w:rsid w:val="005D6572"/>
    <w:rsid w:val="005E6B3E"/>
    <w:rsid w:val="005F0413"/>
    <w:rsid w:val="005F74C9"/>
    <w:rsid w:val="006013E1"/>
    <w:rsid w:val="006046BA"/>
    <w:rsid w:val="0060531A"/>
    <w:rsid w:val="00605F6B"/>
    <w:rsid w:val="006116FD"/>
    <w:rsid w:val="00613994"/>
    <w:rsid w:val="006308A6"/>
    <w:rsid w:val="00631189"/>
    <w:rsid w:val="00632BED"/>
    <w:rsid w:val="006479C4"/>
    <w:rsid w:val="00652871"/>
    <w:rsid w:val="00666B07"/>
    <w:rsid w:val="00681C1C"/>
    <w:rsid w:val="00686DD8"/>
    <w:rsid w:val="006A6FD4"/>
    <w:rsid w:val="006B7DC0"/>
    <w:rsid w:val="006C3A66"/>
    <w:rsid w:val="006C7416"/>
    <w:rsid w:val="006E2790"/>
    <w:rsid w:val="006E5FF3"/>
    <w:rsid w:val="006E5FF7"/>
    <w:rsid w:val="006E786A"/>
    <w:rsid w:val="00704E2F"/>
    <w:rsid w:val="00706940"/>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35C4"/>
    <w:rsid w:val="008573F3"/>
    <w:rsid w:val="008600B0"/>
    <w:rsid w:val="008751C0"/>
    <w:rsid w:val="00887F0D"/>
    <w:rsid w:val="00890C7F"/>
    <w:rsid w:val="00890D01"/>
    <w:rsid w:val="00893E21"/>
    <w:rsid w:val="00893E36"/>
    <w:rsid w:val="008B0E60"/>
    <w:rsid w:val="008B60F6"/>
    <w:rsid w:val="008B7144"/>
    <w:rsid w:val="008C0F7D"/>
    <w:rsid w:val="008C6821"/>
    <w:rsid w:val="008D6CA0"/>
    <w:rsid w:val="008E1D8F"/>
    <w:rsid w:val="008F1786"/>
    <w:rsid w:val="008F6D7D"/>
    <w:rsid w:val="00905D0A"/>
    <w:rsid w:val="00905D33"/>
    <w:rsid w:val="00933CCC"/>
    <w:rsid w:val="00933DF3"/>
    <w:rsid w:val="00941AAD"/>
    <w:rsid w:val="009437EA"/>
    <w:rsid w:val="009477C2"/>
    <w:rsid w:val="009569C4"/>
    <w:rsid w:val="00973210"/>
    <w:rsid w:val="00981C4A"/>
    <w:rsid w:val="00986A95"/>
    <w:rsid w:val="009879A5"/>
    <w:rsid w:val="00992A91"/>
    <w:rsid w:val="00995BF8"/>
    <w:rsid w:val="00995E20"/>
    <w:rsid w:val="009A5FB5"/>
    <w:rsid w:val="009A71D3"/>
    <w:rsid w:val="009B6BAA"/>
    <w:rsid w:val="009C19E6"/>
    <w:rsid w:val="009C78AA"/>
    <w:rsid w:val="009D0BF3"/>
    <w:rsid w:val="009D2BF2"/>
    <w:rsid w:val="009D53E5"/>
    <w:rsid w:val="009E7989"/>
    <w:rsid w:val="009F3DEB"/>
    <w:rsid w:val="009F75BD"/>
    <w:rsid w:val="00A013B1"/>
    <w:rsid w:val="00A17B0E"/>
    <w:rsid w:val="00A216A5"/>
    <w:rsid w:val="00A2235E"/>
    <w:rsid w:val="00A50A0A"/>
    <w:rsid w:val="00A62EA8"/>
    <w:rsid w:val="00A634E9"/>
    <w:rsid w:val="00A73347"/>
    <w:rsid w:val="00A804BF"/>
    <w:rsid w:val="00A97123"/>
    <w:rsid w:val="00AA0EF1"/>
    <w:rsid w:val="00AC03BA"/>
    <w:rsid w:val="00AC33F5"/>
    <w:rsid w:val="00AC656F"/>
    <w:rsid w:val="00AD4172"/>
    <w:rsid w:val="00AE695F"/>
    <w:rsid w:val="00B04621"/>
    <w:rsid w:val="00B04E65"/>
    <w:rsid w:val="00B0585D"/>
    <w:rsid w:val="00B1050C"/>
    <w:rsid w:val="00B1582F"/>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79FE"/>
    <w:rsid w:val="00C63F71"/>
    <w:rsid w:val="00C65CBD"/>
    <w:rsid w:val="00C6654E"/>
    <w:rsid w:val="00C76883"/>
    <w:rsid w:val="00C83099"/>
    <w:rsid w:val="00C90371"/>
    <w:rsid w:val="00C9308C"/>
    <w:rsid w:val="00CA22A4"/>
    <w:rsid w:val="00CB4A57"/>
    <w:rsid w:val="00CC6CF8"/>
    <w:rsid w:val="00CD11A4"/>
    <w:rsid w:val="00CE4CF3"/>
    <w:rsid w:val="00CE747E"/>
    <w:rsid w:val="00CF3367"/>
    <w:rsid w:val="00CF40FC"/>
    <w:rsid w:val="00D02B23"/>
    <w:rsid w:val="00D121BC"/>
    <w:rsid w:val="00D1369C"/>
    <w:rsid w:val="00D1454F"/>
    <w:rsid w:val="00D16F22"/>
    <w:rsid w:val="00D1761F"/>
    <w:rsid w:val="00D34552"/>
    <w:rsid w:val="00D34637"/>
    <w:rsid w:val="00D45B9B"/>
    <w:rsid w:val="00D477DB"/>
    <w:rsid w:val="00D558F3"/>
    <w:rsid w:val="00D61252"/>
    <w:rsid w:val="00D64895"/>
    <w:rsid w:val="00D72804"/>
    <w:rsid w:val="00D94861"/>
    <w:rsid w:val="00D97479"/>
    <w:rsid w:val="00DA05C0"/>
    <w:rsid w:val="00DA2494"/>
    <w:rsid w:val="00DA6682"/>
    <w:rsid w:val="00DA6F79"/>
    <w:rsid w:val="00DB572F"/>
    <w:rsid w:val="00DC1DFB"/>
    <w:rsid w:val="00DC608C"/>
    <w:rsid w:val="00DD0B13"/>
    <w:rsid w:val="00DD3132"/>
    <w:rsid w:val="00DE0B29"/>
    <w:rsid w:val="00DE239E"/>
    <w:rsid w:val="00DF2054"/>
    <w:rsid w:val="00DF757B"/>
    <w:rsid w:val="00E04173"/>
    <w:rsid w:val="00E05430"/>
    <w:rsid w:val="00E07261"/>
    <w:rsid w:val="00E07391"/>
    <w:rsid w:val="00E20DB5"/>
    <w:rsid w:val="00E242F7"/>
    <w:rsid w:val="00E24DC3"/>
    <w:rsid w:val="00E26E62"/>
    <w:rsid w:val="00E35D5D"/>
    <w:rsid w:val="00E40AFE"/>
    <w:rsid w:val="00E4355B"/>
    <w:rsid w:val="00E45FBB"/>
    <w:rsid w:val="00E4609B"/>
    <w:rsid w:val="00E542FC"/>
    <w:rsid w:val="00E61502"/>
    <w:rsid w:val="00E61DA6"/>
    <w:rsid w:val="00E64730"/>
    <w:rsid w:val="00E64E93"/>
    <w:rsid w:val="00E665EC"/>
    <w:rsid w:val="00E75090"/>
    <w:rsid w:val="00E75660"/>
    <w:rsid w:val="00E8299E"/>
    <w:rsid w:val="00E86710"/>
    <w:rsid w:val="00E90FF4"/>
    <w:rsid w:val="00E930C7"/>
    <w:rsid w:val="00EA1CFA"/>
    <w:rsid w:val="00EB00B5"/>
    <w:rsid w:val="00EB0C06"/>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www.itl.nist.gov/iad/mig/publications/ASRhistory/index.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9E999C-B73F-49FC-AA14-1C1A1D34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3762</Words>
  <Characters>21449</Characters>
  <Application>Microsoft Office Word</Application>
  <DocSecurity>0</DocSecurity>
  <Lines>178</Lines>
  <Paragraphs>50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14</cp:revision>
  <cp:lastPrinted>2013-03-17T17:03:00Z</cp:lastPrinted>
  <dcterms:created xsi:type="dcterms:W3CDTF">2013-03-19T17:09:00Z</dcterms:created>
  <dcterms:modified xsi:type="dcterms:W3CDTF">2013-03-19T21:03:00Z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ies>
</file>