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DE1676" w14:textId="77777777" w:rsidR="00334B65" w:rsidRDefault="00334B65" w:rsidP="004657DC">
      <w:pPr>
        <w:pStyle w:val="ListParagraph"/>
        <w:numPr>
          <w:ilvl w:val="0"/>
          <w:numId w:val="4"/>
        </w:numPr>
        <w:spacing w:line="240" w:lineRule="auto"/>
        <w:ind w:left="270" w:hanging="270"/>
        <w:rPr>
          <w:rFonts w:ascii="Times New Roman" w:eastAsia="Times New Roman" w:hAnsi="Times New Roman" w:cs="Times New Roman"/>
          <w:b/>
          <w:bCs/>
          <w:color w:val="000000"/>
          <w:kern w:val="0"/>
          <w:sz w:val="22"/>
          <w:szCs w:val="22"/>
          <w:bdr w:val="none" w:sz="0" w:space="0" w:color="auto" w:frame="1"/>
          <w14:ligatures w14:val="none"/>
        </w:rPr>
      </w:pPr>
      <w:r>
        <w:rPr>
          <w:rFonts w:ascii="Times New Roman" w:eastAsia="Times New Roman" w:hAnsi="Times New Roman" w:cs="Times New Roman"/>
          <w:b/>
          <w:bCs/>
          <w:color w:val="000000"/>
          <w:kern w:val="0"/>
          <w:sz w:val="22"/>
          <w:szCs w:val="22"/>
          <w:bdr w:val="none" w:sz="0" w:space="0" w:color="auto" w:frame="1"/>
          <w14:ligatures w14:val="none"/>
        </w:rPr>
        <w:t>Major activities:</w:t>
      </w:r>
    </w:p>
    <w:p w14:paraId="2AD498A0" w14:textId="3A03282B" w:rsidR="00334B65" w:rsidRPr="004657DC" w:rsidRDefault="004657DC" w:rsidP="004657DC">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4657DC">
        <w:rPr>
          <w:rFonts w:ascii="Times New Roman" w:eastAsia="Times New Roman" w:hAnsi="Times New Roman" w:cs="Times New Roman"/>
          <w:color w:val="000000"/>
          <w:kern w:val="0"/>
          <w:sz w:val="22"/>
          <w:szCs w:val="22"/>
          <w:bdr w:val="none" w:sz="0" w:space="0" w:color="auto" w:frame="1"/>
          <w14:ligatures w14:val="none"/>
        </w:rPr>
        <w:t xml:space="preserve">During the reporting period, the project team </w:t>
      </w:r>
      <w:r>
        <w:rPr>
          <w:rFonts w:ascii="Times New Roman" w:eastAsia="Times New Roman" w:hAnsi="Times New Roman" w:cs="Times New Roman"/>
          <w:color w:val="000000"/>
          <w:kern w:val="0"/>
          <w:sz w:val="22"/>
          <w:szCs w:val="22"/>
          <w:bdr w:val="none" w:sz="0" w:space="0" w:color="auto" w:frame="1"/>
          <w14:ligatures w14:val="none"/>
        </w:rPr>
        <w:t xml:space="preserve">focused on three tasks: (1) development of a theorem that predicts when quantum machine learning will produce an improvement in performance over classical methods, (2) </w:t>
      </w:r>
      <w:r w:rsidRPr="004657DC">
        <w:rPr>
          <w:rFonts w:ascii="Times New Roman" w:eastAsia="Times New Roman" w:hAnsi="Times New Roman" w:cs="Times New Roman"/>
          <w:color w:val="000000"/>
          <w:kern w:val="0"/>
          <w:sz w:val="22"/>
          <w:szCs w:val="22"/>
          <w:bdr w:val="none" w:sz="0" w:space="0" w:color="auto" w:frame="1"/>
          <w14:ligatures w14:val="none"/>
        </w:rPr>
        <w:t>a comprehensive, controlled evaluation of quantum machine learning (QML) methods for classification of classical data</w:t>
      </w:r>
      <w:r>
        <w:rPr>
          <w:rFonts w:ascii="Times New Roman" w:eastAsia="Times New Roman" w:hAnsi="Times New Roman" w:cs="Times New Roman"/>
          <w:color w:val="000000"/>
          <w:kern w:val="0"/>
          <w:sz w:val="22"/>
          <w:szCs w:val="22"/>
          <w:bdr w:val="none" w:sz="0" w:space="0" w:color="auto" w:frame="1"/>
          <w14:ligatures w14:val="none"/>
        </w:rPr>
        <w:t>, and (3) the development of a testbench that allows users to understand and diagnose performance issues for quantum machine learning based applications.</w:t>
      </w:r>
    </w:p>
    <w:p w14:paraId="4BD78733" w14:textId="07B23669" w:rsidR="00AB799A" w:rsidRDefault="00AB799A" w:rsidP="004657DC">
      <w:pPr>
        <w:pStyle w:val="ListParagraph"/>
        <w:numPr>
          <w:ilvl w:val="0"/>
          <w:numId w:val="4"/>
        </w:numPr>
        <w:spacing w:line="240" w:lineRule="auto"/>
        <w:ind w:left="270" w:hanging="270"/>
        <w:rPr>
          <w:rFonts w:ascii="Times New Roman" w:eastAsia="Times New Roman" w:hAnsi="Times New Roman" w:cs="Times New Roman"/>
          <w:b/>
          <w:bCs/>
          <w:color w:val="000000"/>
          <w:kern w:val="0"/>
          <w:sz w:val="22"/>
          <w:szCs w:val="22"/>
          <w:bdr w:val="none" w:sz="0" w:space="0" w:color="auto" w:frame="1"/>
          <w14:ligatures w14:val="none"/>
        </w:rPr>
      </w:pPr>
      <w:r w:rsidRPr="00334B65">
        <w:rPr>
          <w:rFonts w:ascii="Times New Roman" w:eastAsia="Times New Roman" w:hAnsi="Times New Roman" w:cs="Times New Roman"/>
          <w:b/>
          <w:bCs/>
          <w:color w:val="000000"/>
          <w:kern w:val="0"/>
          <w:sz w:val="22"/>
          <w:szCs w:val="22"/>
          <w:bdr w:val="none" w:sz="0" w:space="0" w:color="auto" w:frame="1"/>
          <w14:ligatures w14:val="none"/>
        </w:rPr>
        <w:t>Specific Objectives:</w:t>
      </w:r>
    </w:p>
    <w:p w14:paraId="31DAC5F1" w14:textId="70143A24" w:rsidR="004657DC" w:rsidRPr="004657DC" w:rsidRDefault="004657DC" w:rsidP="004657DC">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4657DC">
        <w:rPr>
          <w:rFonts w:ascii="Times New Roman" w:eastAsia="Times New Roman" w:hAnsi="Times New Roman" w:cs="Times New Roman"/>
          <w:color w:val="000000"/>
          <w:kern w:val="0"/>
          <w:sz w:val="22"/>
          <w:szCs w:val="22"/>
          <w:bdr w:val="none" w:sz="0" w:space="0" w:color="auto" w:frame="1"/>
          <w14:ligatures w14:val="none"/>
        </w:rPr>
        <w:t xml:space="preserve">One of the most frustrating parts of QML research is the number of conflicting publications on whether there is an advantage to QML for classical non-quantum-entangled datasets. Our goal with the development of our theorem was to bring a systematic structure to these conflicting results and to </w:t>
      </w:r>
      <w:proofErr w:type="gramStart"/>
      <w:r w:rsidRPr="004657DC">
        <w:rPr>
          <w:rFonts w:ascii="Times New Roman" w:eastAsia="Times New Roman" w:hAnsi="Times New Roman" w:cs="Times New Roman"/>
          <w:color w:val="000000"/>
          <w:kern w:val="0"/>
          <w:sz w:val="22"/>
          <w:szCs w:val="22"/>
          <w:bdr w:val="none" w:sz="0" w:space="0" w:color="auto" w:frame="1"/>
          <w14:ligatures w14:val="none"/>
        </w:rPr>
        <w:t>definitely determine</w:t>
      </w:r>
      <w:proofErr w:type="gramEnd"/>
      <w:r w:rsidRPr="004657DC">
        <w:rPr>
          <w:rFonts w:ascii="Times New Roman" w:eastAsia="Times New Roman" w:hAnsi="Times New Roman" w:cs="Times New Roman"/>
          <w:color w:val="000000"/>
          <w:kern w:val="0"/>
          <w:sz w:val="22"/>
          <w:szCs w:val="22"/>
          <w:bdr w:val="none" w:sz="0" w:space="0" w:color="auto" w:frame="1"/>
          <w14:ligatures w14:val="none"/>
        </w:rPr>
        <w:t xml:space="preserve"> when QML can provide an advantage.</w:t>
      </w:r>
    </w:p>
    <w:p w14:paraId="6402CA63" w14:textId="66B042CA" w:rsidR="00334B65" w:rsidRDefault="004657DC" w:rsidP="004657DC">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4657DC">
        <w:rPr>
          <w:rFonts w:ascii="Times New Roman" w:eastAsia="Times New Roman" w:hAnsi="Times New Roman" w:cs="Times New Roman"/>
          <w:color w:val="000000"/>
          <w:kern w:val="0"/>
          <w:sz w:val="22"/>
          <w:szCs w:val="22"/>
          <w:bdr w:val="none" w:sz="0" w:space="0" w:color="auto" w:frame="1"/>
          <w14:ligatures w14:val="none"/>
        </w:rPr>
        <w:t>We also are at a stage in this project in which we wanted to generate comprehensive comparisons of QML to traditional ML on two realistic applications (EEG and digital pathology) for which we have an extensive inventory of experimental results. We now have a much better understanding of how these applications could benefit from QML.</w:t>
      </w:r>
    </w:p>
    <w:p w14:paraId="642BF231" w14:textId="06216F61" w:rsidR="004657DC" w:rsidRPr="004657DC" w:rsidRDefault="004657DC" w:rsidP="004657DC">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In keeping with the Outreach component of this project, we also planned and executed a workshop on QML that introduced participants to the underlying theory and practice of applying QML to real world data.</w:t>
      </w:r>
    </w:p>
    <w:p w14:paraId="61A948E9" w14:textId="201F5D04" w:rsidR="006B32DB" w:rsidRPr="006B32DB" w:rsidRDefault="00AB799A" w:rsidP="006B32DB">
      <w:pPr>
        <w:pStyle w:val="ListParagraph"/>
        <w:numPr>
          <w:ilvl w:val="0"/>
          <w:numId w:val="4"/>
        </w:numPr>
        <w:spacing w:line="240" w:lineRule="auto"/>
        <w:ind w:left="270" w:hanging="270"/>
        <w:rPr>
          <w:rFonts w:ascii="Times New Roman" w:eastAsia="Times New Roman" w:hAnsi="Times New Roman" w:cs="Times New Roman"/>
          <w:b/>
          <w:bCs/>
          <w:color w:val="000000"/>
          <w:kern w:val="0"/>
          <w:sz w:val="22"/>
          <w:szCs w:val="22"/>
          <w:bdr w:val="none" w:sz="0" w:space="0" w:color="auto" w:frame="1"/>
          <w14:ligatures w14:val="none"/>
        </w:rPr>
      </w:pPr>
      <w:r w:rsidRPr="00334B65">
        <w:rPr>
          <w:rFonts w:ascii="Times New Roman" w:eastAsia="Times New Roman" w:hAnsi="Times New Roman" w:cs="Times New Roman"/>
          <w:b/>
          <w:bCs/>
          <w:color w:val="000000"/>
          <w:kern w:val="0"/>
          <w:sz w:val="22"/>
          <w:szCs w:val="22"/>
          <w:bdr w:val="none" w:sz="0" w:space="0" w:color="auto" w:frame="1"/>
          <w14:ligatures w14:val="none"/>
        </w:rPr>
        <w:t>Significant results:</w:t>
      </w:r>
    </w:p>
    <w:p w14:paraId="3FCE71E6" w14:textId="77777777" w:rsidR="006B32DB" w:rsidRPr="006B32DB"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6B32DB">
        <w:rPr>
          <w:rFonts w:ascii="Times New Roman" w:eastAsia="Times New Roman" w:hAnsi="Times New Roman" w:cs="Times New Roman"/>
          <w:color w:val="000000"/>
          <w:kern w:val="0"/>
          <w:sz w:val="22"/>
          <w:szCs w:val="22"/>
          <w:bdr w:val="none" w:sz="0" w:space="0" w:color="auto" w:frame="1"/>
          <w14:ligatures w14:val="none"/>
        </w:rPr>
        <w:t>This project established a theoretical and empirical framework for identifying when quantum machine learning (QML) can provide a genuine structural advantage over optimized classical machine-learning methods. The work addresses a fundamental limitation in current QML research: quantum feature maps are frequently selected heuristically, and apparent quantum advantages can disappear when models are compared with carefully optimized classical baselines. Initial experiments demonstrated that conventional quantum support vector machines (QSVMs) generally fail to provide sustained advantages on standard classical datasets, motivating the development of a more rigorous approach to identifying task-relevant quantum structure.</w:t>
      </w:r>
    </w:p>
    <w:p w14:paraId="6DF45267" w14:textId="77777777" w:rsidR="006B32DB" w:rsidRPr="006B32DB"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6B32DB">
        <w:rPr>
          <w:rFonts w:ascii="Times New Roman" w:eastAsia="Times New Roman" w:hAnsi="Times New Roman" w:cs="Times New Roman"/>
          <w:color w:val="000000"/>
          <w:kern w:val="0"/>
          <w:sz w:val="22"/>
          <w:szCs w:val="22"/>
          <w:bdr w:val="none" w:sz="0" w:space="0" w:color="auto" w:frame="1"/>
          <w14:ligatures w14:val="none"/>
        </w:rPr>
        <w:t>A principal result of the project is the development of the Entangled Information Capacity framework, which combines centered kernel-target alignment with measures of physical quantum non-locality, including CHSH violations and Rényi-2 entanglement entropy. The resulting criterion provides a dataset-specific measure of whether a quantum feature space simultaneously contains non-classical correlations and useful class-separation information. The project established a theoretical criterion under which quantum kernel methods can possess a structural advantage over an optimized classical RBF kernel. The analysis also produced a generalization-error result showing that, under the proposed capacity condition, the quantum model has a tighter asymptotic generalization-error bound than the corresponding classical model.</w:t>
      </w:r>
    </w:p>
    <w:p w14:paraId="510A2F0E" w14:textId="77777777" w:rsidR="006B32DB" w:rsidRPr="006B32DB"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6B32DB">
        <w:rPr>
          <w:rFonts w:ascii="Times New Roman" w:eastAsia="Times New Roman" w:hAnsi="Times New Roman" w:cs="Times New Roman"/>
          <w:color w:val="000000"/>
          <w:kern w:val="0"/>
          <w:sz w:val="22"/>
          <w:szCs w:val="22"/>
          <w:bdr w:val="none" w:sz="0" w:space="0" w:color="auto" w:frame="1"/>
          <w14:ligatures w14:val="none"/>
        </w:rPr>
        <w:t xml:space="preserve">The framework was empirically evaluated using 14 synthetic and benchmark datasets spanning conventional nonlinear classification problems, statistical distributions, and quantum-generated or quantum-hardened datasets. Seven quantum feature maps were evaluated against optimized classical RBF kernels. The experiments showed three distinct regimes: datasets for which quantum feature maps provide a measurable advantage, datasets for which quantum representations are competitive but provide no necessary information beyond classical methods, and datasets for which classical methods remain superior. For example, on generated quantum data, the QSVM achieved 95.85% accuracy compared with 79.90% for the classical SVM, with the improvement reported as statistically significant at the 99% confidence level. Similar behavior was observed on the IBM Ad Hoc dataset. Conversely, on datasets </w:t>
      </w:r>
      <w:r w:rsidRPr="006B32DB">
        <w:rPr>
          <w:rFonts w:ascii="Times New Roman" w:eastAsia="Times New Roman" w:hAnsi="Times New Roman" w:cs="Times New Roman"/>
          <w:color w:val="000000"/>
          <w:kern w:val="0"/>
          <w:sz w:val="22"/>
          <w:szCs w:val="22"/>
          <w:bdr w:val="none" w:sz="0" w:space="0" w:color="auto" w:frame="1"/>
          <w14:ligatures w14:val="none"/>
        </w:rPr>
        <w:lastRenderedPageBreak/>
        <w:t>such as overlapping Gaussian distributions, UCI Breast Cancer, and Set-13, the optimized classical kernel generally remained superior unless the quantum representation satisfied the proposed structural criterion.</w:t>
      </w:r>
    </w:p>
    <w:p w14:paraId="0EBC0CAC" w14:textId="77777777" w:rsidR="006B32DB" w:rsidRPr="006B32DB"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6B32DB">
        <w:rPr>
          <w:rFonts w:ascii="Times New Roman" w:eastAsia="Times New Roman" w:hAnsi="Times New Roman" w:cs="Times New Roman"/>
          <w:color w:val="000000"/>
          <w:kern w:val="0"/>
          <w:sz w:val="22"/>
          <w:szCs w:val="22"/>
          <w:bdr w:val="none" w:sz="0" w:space="0" w:color="auto" w:frame="1"/>
          <w14:ligatures w14:val="none"/>
        </w:rPr>
        <w:t>Scaling experiments further demonstrated that the proposed capacity measure is a useful a priori diagnostic for quantum advantage. Across training-set sizes ranging from tens to 10,000 samples, the theoretical criterion generally became more reliable as the sample size increased, consistent with the expected convergence of kernel-target alignment. The experiments also showed that computing the proposed capacity metric is substantially less expensive than performing full QSVM training, whose Gram-matrix computation grows quadratically with the number of training samples. This establishes the potential for using the framework as a screening mechanism to determine whether a dataset warrants the substantially greater computational cost of quantum processing.</w:t>
      </w:r>
    </w:p>
    <w:p w14:paraId="5F3EDB21" w14:textId="77777777" w:rsidR="006B32DB" w:rsidRPr="006B32DB"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6B32DB">
        <w:rPr>
          <w:rFonts w:ascii="Times New Roman" w:eastAsia="Times New Roman" w:hAnsi="Times New Roman" w:cs="Times New Roman"/>
          <w:color w:val="000000"/>
          <w:kern w:val="0"/>
          <w:sz w:val="22"/>
          <w:szCs w:val="22"/>
          <w:bdr w:val="none" w:sz="0" w:space="0" w:color="auto" w:frame="1"/>
          <w14:ligatures w14:val="none"/>
        </w:rPr>
        <w:t xml:space="preserve">The project also converted the theoretical framework into a trainable algorithm, Entangled Information Capacity-driven Quantum Kernel Optimization (CQKO). Rather than relying on a fixed, heuristic quantum feature map, the algorithm directly optimizes the quantum circuit to increase both task-specific kernel alignment and non-local entanglement. Comparative experiments against both an optimized classical RBF-SVM and a conventional QSVM using a static </w:t>
      </w:r>
      <w:proofErr w:type="spellStart"/>
      <w:r w:rsidRPr="006B32DB">
        <w:rPr>
          <w:rFonts w:ascii="Times New Roman" w:eastAsia="Times New Roman" w:hAnsi="Times New Roman" w:cs="Times New Roman"/>
          <w:color w:val="000000"/>
          <w:kern w:val="0"/>
          <w:sz w:val="22"/>
          <w:szCs w:val="22"/>
          <w:bdr w:val="none" w:sz="0" w:space="0" w:color="auto" w:frame="1"/>
          <w14:ligatures w14:val="none"/>
        </w:rPr>
        <w:t>ZZFeatureMap</w:t>
      </w:r>
      <w:proofErr w:type="spellEnd"/>
      <w:r w:rsidRPr="006B32DB">
        <w:rPr>
          <w:rFonts w:ascii="Times New Roman" w:eastAsia="Times New Roman" w:hAnsi="Times New Roman" w:cs="Times New Roman"/>
          <w:color w:val="000000"/>
          <w:kern w:val="0"/>
          <w:sz w:val="22"/>
          <w:szCs w:val="22"/>
          <w:bdr w:val="none" w:sz="0" w:space="0" w:color="auto" w:frame="1"/>
          <w14:ligatures w14:val="none"/>
        </w:rPr>
        <w:t xml:space="preserve"> demonstrated statistically significant improvements on several nonlinear datasets. In particular, the optimized model achieved 67.97% accuracy on Set-10 versus 67.48% for the classical RBF model and 67.70% for the static quantum model, while on Set-13 it achieved 79.45% versus 78.64% for the classical baseline and 71.90% for the static quantum model. The statistical testing used paired McNemar tests, with significant improvements identified at the 95% confidence level.</w:t>
      </w:r>
    </w:p>
    <w:p w14:paraId="0969671F" w14:textId="77777777" w:rsidR="006B32DB" w:rsidRPr="006B32DB"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6B32DB">
        <w:rPr>
          <w:rFonts w:ascii="Times New Roman" w:eastAsia="Times New Roman" w:hAnsi="Times New Roman" w:cs="Times New Roman"/>
          <w:color w:val="000000"/>
          <w:kern w:val="0"/>
          <w:sz w:val="22"/>
          <w:szCs w:val="22"/>
          <w:bdr w:val="none" w:sz="0" w:space="0" w:color="auto" w:frame="1"/>
          <w14:ligatures w14:val="none"/>
        </w:rPr>
        <w:t>A second algorithm, Anchor-Based Entanglement-Driven Classification (AB-EDC), addressed the computational scaling limitations of exact quantum kernels. Instead of constructing a full Gram matrix, AB-EDC represents each class using a small number of anchor states and performs classification using quantum fidelity and entanglement-weighted similarity. This reduces the computational footprint from the full quadratic kernel representation to a sub-quadratic formulation, enabling application to substantially larger datasets. Experimental results demonstrated that AB-EDC retained the benefits of the optimized quantum representation while substantially reducing computational requirements. On the challenging Set-13 dataset, AB-EDC achieved 78.18% accuracy, compared with 71.13% for the static quantum model and 78.28% for the classical RBF model. Although the absolute accuracy was essentially comparable to the classical baseline, the optimized quantum representation achieved a CKTA of 0.6357, substantially exceeding the reported classical capacity threshold of 0.308, demonstrating that the learned quantum representation contained substantially greater task-aligned structure even under the anchor approximation.</w:t>
      </w:r>
      <w:r w:rsidRPr="006B32DB">
        <w:rPr>
          <w:rFonts w:ascii="Times New Roman" w:eastAsia="Times New Roman" w:hAnsi="Times New Roman" w:cs="Times New Roman"/>
          <w:color w:val="000000"/>
          <w:kern w:val="0"/>
          <w:sz w:val="22"/>
          <w:szCs w:val="22"/>
          <w:bdr w:val="none" w:sz="0" w:space="0" w:color="auto" w:frame="1"/>
          <w14:ligatures w14:val="none"/>
        </w:rPr>
        <w:br/>
        <w:t>Collectively, these results establish a methodology for moving QML research away from heuristic claims of quantum advantage toward quantitative, dataset-specific evaluation of when quantum resources are actually useful. The work demonstrates that entanglement alone is not sufficient: useful quantum representations must combine non-classical correlations with task-relevant information about the target labels. The resulting framework provides both a theoretical criterion and practical optimization algorithms for identifying and constructing such representations. The next phase of the project will extend these methods from synthetic benchmarks to high-dimensional biomedical applications, including continuous EEG seizure detection and breast-cancer analysis in digital pathology whole-slide images.</w:t>
      </w:r>
    </w:p>
    <w:p w14:paraId="58152B3B" w14:textId="36A480F9" w:rsidR="004657DC" w:rsidRPr="004657DC"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 xml:space="preserve">A secondary </w:t>
      </w:r>
      <w:r w:rsidR="004657DC" w:rsidRPr="004657DC">
        <w:rPr>
          <w:rFonts w:ascii="Times New Roman" w:eastAsia="Times New Roman" w:hAnsi="Times New Roman" w:cs="Times New Roman"/>
          <w:color w:val="000000"/>
          <w:kern w:val="0"/>
          <w:sz w:val="22"/>
          <w:szCs w:val="22"/>
          <w:bdr w:val="none" w:sz="0" w:space="0" w:color="auto" w:frame="1"/>
          <w14:ligatures w14:val="none"/>
        </w:rPr>
        <w:t>activity was the development and execution of a reproducible benchmark comparing three QML approaches: (1) quantum support vector machines (QSVM), (2) quantum neural networks (QNN), and (3) quantum restricted Boltzmann machines (QRBM).</w:t>
      </w:r>
      <w:r>
        <w:rPr>
          <w:rFonts w:ascii="Times New Roman" w:eastAsia="Times New Roman" w:hAnsi="Times New Roman" w:cs="Times New Roman"/>
          <w:color w:val="000000"/>
          <w:kern w:val="0"/>
          <w:sz w:val="22"/>
          <w:szCs w:val="22"/>
          <w:bdr w:val="none" w:sz="0" w:space="0" w:color="auto" w:frame="1"/>
          <w14:ligatures w14:val="none"/>
        </w:rPr>
        <w:t xml:space="preserve"> </w:t>
      </w:r>
      <w:r w:rsidR="004657DC" w:rsidRPr="004657DC">
        <w:rPr>
          <w:rFonts w:ascii="Times New Roman" w:eastAsia="Times New Roman" w:hAnsi="Times New Roman" w:cs="Times New Roman"/>
          <w:color w:val="000000"/>
          <w:kern w:val="0"/>
          <w:sz w:val="22"/>
          <w:szCs w:val="22"/>
          <w:bdr w:val="none" w:sz="0" w:space="0" w:color="auto" w:frame="1"/>
          <w14:ligatures w14:val="none"/>
        </w:rPr>
        <w:t>The study evaluated eight two-dimensional benchmark datasets designed to isolate different geometric and classification challenges. More than 23,000 quantum-model configurations were evaluated while systematically varying quantum feature maps, circuit depth, ansatz layers, entanglement topology, and training-set size. Matched classical baselines were evaluated under the same data conditions to provide an apples-to-apples comparison.</w:t>
      </w:r>
    </w:p>
    <w:p w14:paraId="3F28560B" w14:textId="53740BC2" w:rsidR="004657DC" w:rsidRPr="004657DC"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lastRenderedPageBreak/>
        <w:t xml:space="preserve">We extended </w:t>
      </w:r>
      <w:r w:rsidR="004657DC" w:rsidRPr="004657DC">
        <w:rPr>
          <w:rFonts w:ascii="Times New Roman" w:eastAsia="Times New Roman" w:hAnsi="Times New Roman" w:cs="Times New Roman"/>
          <w:color w:val="000000"/>
          <w:kern w:val="0"/>
          <w:sz w:val="22"/>
          <w:szCs w:val="22"/>
          <w:bdr w:val="none" w:sz="0" w:space="0" w:color="auto" w:frame="1"/>
          <w14:ligatures w14:val="none"/>
        </w:rPr>
        <w:t>the benchmark to two biomedical applications: EEG-based seizure detection and high-resolution digital pathology cancer segmentation. In both applications, the quantum classifier was incorporated as a replacement for the final classification stage of an established deep-learning pipeline, allowing the project to evaluate whether QML provided additional benefit when applied to learned biomedical representations.</w:t>
      </w:r>
    </w:p>
    <w:p w14:paraId="0979B526" w14:textId="77777777" w:rsidR="004657DC" w:rsidRPr="004657DC" w:rsidRDefault="004657DC"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4657DC">
        <w:rPr>
          <w:rFonts w:ascii="Times New Roman" w:eastAsia="Times New Roman" w:hAnsi="Times New Roman" w:cs="Times New Roman"/>
          <w:color w:val="000000"/>
          <w:kern w:val="0"/>
          <w:sz w:val="22"/>
          <w:szCs w:val="22"/>
          <w:bdr w:val="none" w:sz="0" w:space="0" w:color="auto" w:frame="1"/>
          <w14:ligatures w14:val="none"/>
        </w:rPr>
        <w:t xml:space="preserve">The team also performed systematic ablation and computational analyses to identify the factors that influence QML performance. These analyses examined the relationship between training-set size and accuracy, the effects of alternative feature maps and circuit depths, the role of entanglement topology, and the computational scaling of different QML approaches. </w:t>
      </w:r>
      <w:proofErr w:type="gramStart"/>
      <w:r w:rsidRPr="004657DC">
        <w:rPr>
          <w:rFonts w:ascii="Times New Roman" w:eastAsia="Times New Roman" w:hAnsi="Times New Roman" w:cs="Times New Roman"/>
          <w:color w:val="000000"/>
          <w:kern w:val="0"/>
          <w:sz w:val="22"/>
          <w:szCs w:val="22"/>
          <w:bdr w:val="none" w:sz="0" w:space="0" w:color="auto" w:frame="1"/>
          <w14:ligatures w14:val="none"/>
        </w:rPr>
        <w:t>Particular attention</w:t>
      </w:r>
      <w:proofErr w:type="gramEnd"/>
      <w:r w:rsidRPr="004657DC">
        <w:rPr>
          <w:rFonts w:ascii="Times New Roman" w:eastAsia="Times New Roman" w:hAnsi="Times New Roman" w:cs="Times New Roman"/>
          <w:color w:val="000000"/>
          <w:kern w:val="0"/>
          <w:sz w:val="22"/>
          <w:szCs w:val="22"/>
          <w:bdr w:val="none" w:sz="0" w:space="0" w:color="auto" w:frame="1"/>
          <w14:ligatures w14:val="none"/>
        </w:rPr>
        <w:t xml:space="preserve"> was given to identifying whether quantum models benefited from specific structural properties of the data rather than simply from increased model complexity.</w:t>
      </w:r>
    </w:p>
    <w:p w14:paraId="1D271B6B" w14:textId="77777777" w:rsidR="004657DC" w:rsidRPr="004657DC" w:rsidRDefault="004657DC"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4657DC">
        <w:rPr>
          <w:rFonts w:ascii="Times New Roman" w:eastAsia="Times New Roman" w:hAnsi="Times New Roman" w:cs="Times New Roman"/>
          <w:color w:val="000000"/>
          <w:kern w:val="0"/>
          <w:sz w:val="22"/>
          <w:szCs w:val="22"/>
          <w:bdr w:val="none" w:sz="0" w:space="0" w:color="auto" w:frame="1"/>
          <w14:ligatures w14:val="none"/>
        </w:rPr>
        <w:t>Finally, the project synthesized the experimental results into a framework for identifying when quantum machine learning is likely to provide a practical benefit. The results motivated the development of data-dependent screening measures that could be used to determine whether a dataset contains structure that is potentially exploitable by quantum models before substantial computational resources are invested in QML training. This work provides a foundation for future research on predictive measures of quantum learning advantage.</w:t>
      </w:r>
    </w:p>
    <w:p w14:paraId="00539C96" w14:textId="1B76E497" w:rsidR="004657DC" w:rsidRPr="004657DC"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 xml:space="preserve">A third major finding was that HilbertBench was shown to be a useful tool for diagnosing problems with QML system. </w:t>
      </w:r>
      <w:r w:rsidR="004657DC" w:rsidRPr="004657DC">
        <w:rPr>
          <w:rFonts w:ascii="Times New Roman" w:eastAsia="Times New Roman" w:hAnsi="Times New Roman" w:cs="Times New Roman"/>
          <w:color w:val="000000"/>
          <w:kern w:val="0"/>
          <w:sz w:val="22"/>
          <w:szCs w:val="22"/>
          <w:bdr w:val="none" w:sz="0" w:space="0" w:color="auto" w:frame="1"/>
          <w14:ligatures w14:val="none"/>
        </w:rPr>
        <w:t>HilbertBench</w:t>
      </w:r>
      <w:r>
        <w:rPr>
          <w:rFonts w:ascii="Times New Roman" w:eastAsia="Times New Roman" w:hAnsi="Times New Roman" w:cs="Times New Roman"/>
          <w:color w:val="000000"/>
          <w:kern w:val="0"/>
          <w:sz w:val="22"/>
          <w:szCs w:val="22"/>
          <w:bdr w:val="none" w:sz="0" w:space="0" w:color="auto" w:frame="1"/>
          <w14:ligatures w14:val="none"/>
        </w:rPr>
        <w:t xml:space="preserve"> is </w:t>
      </w:r>
      <w:r w:rsidR="004657DC" w:rsidRPr="004657DC">
        <w:rPr>
          <w:rFonts w:ascii="Times New Roman" w:eastAsia="Times New Roman" w:hAnsi="Times New Roman" w:cs="Times New Roman"/>
          <w:color w:val="000000"/>
          <w:kern w:val="0"/>
          <w:sz w:val="22"/>
          <w:szCs w:val="22"/>
          <w:bdr w:val="none" w:sz="0" w:space="0" w:color="auto" w:frame="1"/>
          <w14:ligatures w14:val="none"/>
        </w:rPr>
        <w:t xml:space="preserve">an open-source diagnostic framework for variational quantum machine learning. A transparent proxy records circuit executions at the estimator/device boundary into sealed, append-only, tamper-evident traces, without altering the run. Integrations cover Qiskit and PennyLane, and the instrument was frozen at v1.0.0 and archived with a DOI. </w:t>
      </w:r>
    </w:p>
    <w:p w14:paraId="57C49322" w14:textId="77777777" w:rsidR="006B32DB"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We i</w:t>
      </w:r>
      <w:r w:rsidR="004657DC" w:rsidRPr="004657DC">
        <w:rPr>
          <w:rFonts w:ascii="Times New Roman" w:eastAsia="Times New Roman" w:hAnsi="Times New Roman" w:cs="Times New Roman"/>
          <w:color w:val="000000"/>
          <w:kern w:val="0"/>
          <w:sz w:val="22"/>
          <w:szCs w:val="22"/>
          <w:bdr w:val="none" w:sz="0" w:space="0" w:color="auto" w:frame="1"/>
          <w14:ligatures w14:val="none"/>
        </w:rPr>
        <w:t xml:space="preserve">mplemented six offline analyzers that attribute failures from the trace alone: landscape variance (barren plateau), shot-noise ratio, expressibility, calibration-based fidelity, convergence, and circuit structure. Thresholds were set on a disjoint development corpus and frozen before any test data existed. </w:t>
      </w:r>
    </w:p>
    <w:p w14:paraId="0CF7CD9C" w14:textId="252786C0" w:rsidR="004657DC" w:rsidRPr="004657DC"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We d</w:t>
      </w:r>
      <w:r w:rsidR="004657DC" w:rsidRPr="004657DC">
        <w:rPr>
          <w:rFonts w:ascii="Times New Roman" w:eastAsia="Times New Roman" w:hAnsi="Times New Roman" w:cs="Times New Roman"/>
          <w:color w:val="000000"/>
          <w:kern w:val="0"/>
          <w:sz w:val="22"/>
          <w:szCs w:val="22"/>
          <w:bdr w:val="none" w:sz="0" w:space="0" w:color="auto" w:frame="1"/>
          <w14:ligatures w14:val="none"/>
        </w:rPr>
        <w:t xml:space="preserve">esigned and conducted a pre-registered, blinded validation study (OSF-registered). A corpus of 72 runs (36 simulated, 36 on IBM superconducting hardware) with four planted failure modes was diagnosed by an independent diagnostician against a cryptographically committed answer key. </w:t>
      </w:r>
    </w:p>
    <w:p w14:paraId="1997995D" w14:textId="547DBBDF" w:rsidR="004657DC" w:rsidRPr="004657DC"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We m</w:t>
      </w:r>
      <w:r w:rsidR="004657DC" w:rsidRPr="004657DC">
        <w:rPr>
          <w:rFonts w:ascii="Times New Roman" w:eastAsia="Times New Roman" w:hAnsi="Times New Roman" w:cs="Times New Roman"/>
          <w:color w:val="000000"/>
          <w:kern w:val="0"/>
          <w:sz w:val="22"/>
          <w:szCs w:val="22"/>
          <w:bdr w:val="none" w:sz="0" w:space="0" w:color="auto" w:frame="1"/>
          <w14:ligatures w14:val="none"/>
        </w:rPr>
        <w:t xml:space="preserve">apped detection boundaries with a committed algorithmic study. Each failure mechanism was swept from absent to fully expressed, a frozen mechanical decision rule was replayed over the blinded corpus, and mixture experiments were run with pre-specified outcomes. </w:t>
      </w:r>
    </w:p>
    <w:p w14:paraId="67E34765" w14:textId="65B9DCBD" w:rsidR="004657DC" w:rsidRPr="004657DC"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We c</w:t>
      </w:r>
      <w:r w:rsidR="004657DC" w:rsidRPr="004657DC">
        <w:rPr>
          <w:rFonts w:ascii="Times New Roman" w:eastAsia="Times New Roman" w:hAnsi="Times New Roman" w:cs="Times New Roman"/>
          <w:color w:val="000000"/>
          <w:kern w:val="0"/>
          <w:sz w:val="22"/>
          <w:szCs w:val="22"/>
          <w:bdr w:val="none" w:sz="0" w:space="0" w:color="auto" w:frame="1"/>
          <w14:ligatures w14:val="none"/>
        </w:rPr>
        <w:t xml:space="preserve">onducted a second pre-registered, blinded study on a fresh 63-run corpus built around the detection boundaries, comparing a human diagnostician against the frozen rule. This study reproduced two detection boundaries on new seeds and exposed a previously unknown false-positive mode, in which extreme shot starvation mimics a barren plateau. It also identified a shot-starvation planting knob that failed its registered manipulation check. </w:t>
      </w:r>
    </w:p>
    <w:p w14:paraId="1536D9E4" w14:textId="4A1D4260" w:rsidR="004657DC" w:rsidRPr="004657DC"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We p</w:t>
      </w:r>
      <w:r w:rsidR="004657DC" w:rsidRPr="004657DC">
        <w:rPr>
          <w:rFonts w:ascii="Times New Roman" w:eastAsia="Times New Roman" w:hAnsi="Times New Roman" w:cs="Times New Roman"/>
          <w:color w:val="000000"/>
          <w:kern w:val="0"/>
          <w:sz w:val="22"/>
          <w:szCs w:val="22"/>
          <w:bdr w:val="none" w:sz="0" w:space="0" w:color="auto" w:frame="1"/>
          <w14:ligatures w14:val="none"/>
        </w:rPr>
        <w:t>erformed hardware experiments on two IBM superconducting processors (</w:t>
      </w:r>
      <w:proofErr w:type="spellStart"/>
      <w:r w:rsidR="004657DC" w:rsidRPr="004657DC">
        <w:rPr>
          <w:rFonts w:ascii="Times New Roman" w:eastAsia="Times New Roman" w:hAnsi="Times New Roman" w:cs="Times New Roman"/>
          <w:color w:val="000000"/>
          <w:kern w:val="0"/>
          <w:sz w:val="22"/>
          <w:szCs w:val="22"/>
          <w:bdr w:val="none" w:sz="0" w:space="0" w:color="auto" w:frame="1"/>
          <w14:ligatures w14:val="none"/>
        </w:rPr>
        <w:t>ibm_marrakesh</w:t>
      </w:r>
      <w:proofErr w:type="spellEnd"/>
      <w:r w:rsidR="004657DC" w:rsidRPr="004657DC">
        <w:rPr>
          <w:rFonts w:ascii="Times New Roman" w:eastAsia="Times New Roman" w:hAnsi="Times New Roman" w:cs="Times New Roman"/>
          <w:color w:val="000000"/>
          <w:kern w:val="0"/>
          <w:sz w:val="22"/>
          <w:szCs w:val="22"/>
          <w:bdr w:val="none" w:sz="0" w:space="0" w:color="auto" w:frame="1"/>
          <w14:ligatures w14:val="none"/>
        </w:rPr>
        <w:t xml:space="preserve"> and </w:t>
      </w:r>
      <w:proofErr w:type="spellStart"/>
      <w:r w:rsidR="004657DC" w:rsidRPr="004657DC">
        <w:rPr>
          <w:rFonts w:ascii="Times New Roman" w:eastAsia="Times New Roman" w:hAnsi="Times New Roman" w:cs="Times New Roman"/>
          <w:color w:val="000000"/>
          <w:kern w:val="0"/>
          <w:sz w:val="22"/>
          <w:szCs w:val="22"/>
          <w:bdr w:val="none" w:sz="0" w:space="0" w:color="auto" w:frame="1"/>
          <w14:ligatures w14:val="none"/>
        </w:rPr>
        <w:t>ibm_fez</w:t>
      </w:r>
      <w:proofErr w:type="spellEnd"/>
      <w:r w:rsidR="004657DC" w:rsidRPr="004657DC">
        <w:rPr>
          <w:rFonts w:ascii="Times New Roman" w:eastAsia="Times New Roman" w:hAnsi="Times New Roman" w:cs="Times New Roman"/>
          <w:color w:val="000000"/>
          <w:kern w:val="0"/>
          <w:sz w:val="22"/>
          <w:szCs w:val="22"/>
          <w:bdr w:val="none" w:sz="0" w:space="0" w:color="auto" w:frame="1"/>
          <w14:ligatures w14:val="none"/>
        </w:rPr>
        <w:t xml:space="preserve">), measuring how noise displaces the expressibility–trainability frontier as a function of circuit depth. </w:t>
      </w:r>
    </w:p>
    <w:p w14:paraId="7451BE64" w14:textId="1E06BAE0" w:rsidR="004657DC" w:rsidRPr="004657DC"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We c</w:t>
      </w:r>
      <w:r w:rsidR="004657DC" w:rsidRPr="004657DC">
        <w:rPr>
          <w:rFonts w:ascii="Times New Roman" w:eastAsia="Times New Roman" w:hAnsi="Times New Roman" w:cs="Times New Roman"/>
          <w:color w:val="000000"/>
          <w:kern w:val="0"/>
          <w:sz w:val="22"/>
          <w:szCs w:val="22"/>
          <w:bdr w:val="none" w:sz="0" w:space="0" w:color="auto" w:frame="1"/>
          <w14:ligatures w14:val="none"/>
        </w:rPr>
        <w:t xml:space="preserve">arried out external validation of the instrument against known theory. This included recovery of the McClean barren-plateau scaling law from traces alone and prediction of hardware fidelity from recorded calibration snapshots. </w:t>
      </w:r>
    </w:p>
    <w:p w14:paraId="7F01F5DD" w14:textId="4E428CA8" w:rsidR="004657DC" w:rsidRPr="004657DC" w:rsidRDefault="006B32DB" w:rsidP="006B32DB">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lastRenderedPageBreak/>
        <w:t>We r</w:t>
      </w:r>
      <w:r w:rsidR="004657DC" w:rsidRPr="004657DC">
        <w:rPr>
          <w:rFonts w:ascii="Times New Roman" w:eastAsia="Times New Roman" w:hAnsi="Times New Roman" w:cs="Times New Roman"/>
          <w:color w:val="000000"/>
          <w:kern w:val="0"/>
          <w:sz w:val="22"/>
          <w:szCs w:val="22"/>
          <w:bdr w:val="none" w:sz="0" w:space="0" w:color="auto" w:frame="1"/>
          <w14:ligatures w14:val="none"/>
        </w:rPr>
        <w:t xml:space="preserve">eleased open research products: the instrument, all traces and seeds, both pre-registrations, and both blinded corpora with answer keys, archived on GitHub, </w:t>
      </w:r>
      <w:proofErr w:type="spellStart"/>
      <w:r w:rsidR="004657DC" w:rsidRPr="004657DC">
        <w:rPr>
          <w:rFonts w:ascii="Times New Roman" w:eastAsia="Times New Roman" w:hAnsi="Times New Roman" w:cs="Times New Roman"/>
          <w:color w:val="000000"/>
          <w:kern w:val="0"/>
          <w:sz w:val="22"/>
          <w:szCs w:val="22"/>
          <w:bdr w:val="none" w:sz="0" w:space="0" w:color="auto" w:frame="1"/>
          <w14:ligatures w14:val="none"/>
        </w:rPr>
        <w:t>Zenodo</w:t>
      </w:r>
      <w:proofErr w:type="spellEnd"/>
      <w:r w:rsidR="004657DC" w:rsidRPr="004657DC">
        <w:rPr>
          <w:rFonts w:ascii="Times New Roman" w:eastAsia="Times New Roman" w:hAnsi="Times New Roman" w:cs="Times New Roman"/>
          <w:color w:val="000000"/>
          <w:kern w:val="0"/>
          <w:sz w:val="22"/>
          <w:szCs w:val="22"/>
          <w:bdr w:val="none" w:sz="0" w:space="0" w:color="auto" w:frame="1"/>
          <w14:ligatures w14:val="none"/>
        </w:rPr>
        <w:t xml:space="preserve">, and OSF with verification recipes for independent re-scoring. </w:t>
      </w:r>
    </w:p>
    <w:p w14:paraId="773246EF" w14:textId="69F75A84" w:rsidR="00334B65" w:rsidRPr="00334B65" w:rsidRDefault="006B32DB" w:rsidP="006B32DB">
      <w:pPr>
        <w:spacing w:line="240" w:lineRule="auto"/>
        <w:rPr>
          <w:rFonts w:ascii="Times New Roman" w:eastAsia="Times New Roman" w:hAnsi="Times New Roman" w:cs="Times New Roman"/>
          <w:b/>
          <w:bCs/>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We p</w:t>
      </w:r>
      <w:r w:rsidR="004657DC" w:rsidRPr="004657DC">
        <w:rPr>
          <w:rFonts w:ascii="Times New Roman" w:eastAsia="Times New Roman" w:hAnsi="Times New Roman" w:cs="Times New Roman"/>
          <w:color w:val="000000"/>
          <w:kern w:val="0"/>
          <w:sz w:val="22"/>
          <w:szCs w:val="22"/>
          <w:bdr w:val="none" w:sz="0" w:space="0" w:color="auto" w:frame="1"/>
          <w14:ligatures w14:val="none"/>
        </w:rPr>
        <w:t>repared a manuscript for publication and trained graduate researchers in pre-registered, blinded evaluation methodology and quantum machine learning diagnostics.</w:t>
      </w:r>
    </w:p>
    <w:p w14:paraId="7088B0F0" w14:textId="43000C22" w:rsidR="00334B65" w:rsidRPr="004657DC" w:rsidRDefault="00AB799A" w:rsidP="004657DC">
      <w:pPr>
        <w:pStyle w:val="ListParagraph"/>
        <w:numPr>
          <w:ilvl w:val="0"/>
          <w:numId w:val="4"/>
        </w:numPr>
        <w:spacing w:line="240" w:lineRule="auto"/>
        <w:ind w:left="270" w:hanging="270"/>
        <w:rPr>
          <w:rFonts w:ascii="Times New Roman" w:eastAsia="Times New Roman" w:hAnsi="Times New Roman" w:cs="Times New Roman"/>
          <w:b/>
          <w:bCs/>
          <w:color w:val="000000"/>
          <w:kern w:val="0"/>
          <w:sz w:val="22"/>
          <w:szCs w:val="22"/>
          <w:bdr w:val="none" w:sz="0" w:space="0" w:color="auto" w:frame="1"/>
          <w14:ligatures w14:val="none"/>
        </w:rPr>
      </w:pPr>
      <w:r w:rsidRPr="00334B65">
        <w:rPr>
          <w:rFonts w:ascii="Times New Roman" w:eastAsia="Times New Roman" w:hAnsi="Times New Roman" w:cs="Times New Roman"/>
          <w:b/>
          <w:bCs/>
          <w:color w:val="000000"/>
          <w:kern w:val="0"/>
          <w:sz w:val="22"/>
          <w:szCs w:val="22"/>
          <w:bdr w:val="none" w:sz="0" w:space="0" w:color="auto" w:frame="1"/>
          <w14:ligatures w14:val="none"/>
        </w:rPr>
        <w:t xml:space="preserve">Key outcomes or </w:t>
      </w:r>
      <w:r w:rsidR="00334B65">
        <w:rPr>
          <w:rFonts w:ascii="Times New Roman" w:eastAsia="Times New Roman" w:hAnsi="Times New Roman" w:cs="Times New Roman"/>
          <w:b/>
          <w:bCs/>
          <w:color w:val="000000"/>
          <w:kern w:val="0"/>
          <w:sz w:val="22"/>
          <w:szCs w:val="22"/>
          <w:bdr w:val="none" w:sz="0" w:space="0" w:color="auto" w:frame="1"/>
          <w14:ligatures w14:val="none"/>
        </w:rPr>
        <w:t>o</w:t>
      </w:r>
      <w:r w:rsidRPr="00334B65">
        <w:rPr>
          <w:rFonts w:ascii="Times New Roman" w:eastAsia="Times New Roman" w:hAnsi="Times New Roman" w:cs="Times New Roman"/>
          <w:b/>
          <w:bCs/>
          <w:color w:val="000000"/>
          <w:kern w:val="0"/>
          <w:sz w:val="22"/>
          <w:szCs w:val="22"/>
          <w:bdr w:val="none" w:sz="0" w:space="0" w:color="auto" w:frame="1"/>
          <w14:ligatures w14:val="none"/>
        </w:rPr>
        <w:t>ther achievements:</w:t>
      </w:r>
    </w:p>
    <w:p w14:paraId="6E81B333" w14:textId="5A17EC48" w:rsidR="00334B65" w:rsidRPr="004657DC" w:rsidRDefault="004657DC" w:rsidP="004657DC">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4657DC">
        <w:rPr>
          <w:rFonts w:ascii="Times New Roman" w:eastAsia="Times New Roman" w:hAnsi="Times New Roman" w:cs="Times New Roman"/>
          <w:color w:val="000000"/>
          <w:kern w:val="0"/>
          <w:sz w:val="22"/>
          <w:szCs w:val="22"/>
          <w:bdr w:val="none" w:sz="0" w:space="0" w:color="auto" w:frame="1"/>
          <w14:ligatures w14:val="none"/>
        </w:rPr>
        <w:t>The development of a tool to predict a QML advantage is a major step forward for QML research and technology development. HilbertBench is also a significant step in explainable AI (xAI) since it allows users to easily diagnose performance issues in QML systems.</w:t>
      </w:r>
    </w:p>
    <w:p w14:paraId="5D52AE56" w14:textId="6ED6CAA2" w:rsidR="00334B65" w:rsidRPr="00334B65" w:rsidRDefault="00AB799A" w:rsidP="004657DC">
      <w:pPr>
        <w:pStyle w:val="ListParagraph"/>
        <w:numPr>
          <w:ilvl w:val="0"/>
          <w:numId w:val="4"/>
        </w:numPr>
        <w:spacing w:line="240" w:lineRule="auto"/>
        <w:ind w:left="270" w:hanging="270"/>
        <w:rPr>
          <w:rFonts w:ascii="Times New Roman" w:eastAsia="Times New Roman" w:hAnsi="Times New Roman" w:cs="Times New Roman"/>
          <w:b/>
          <w:bCs/>
          <w:color w:val="000000"/>
          <w:kern w:val="0"/>
          <w:sz w:val="22"/>
          <w:szCs w:val="22"/>
          <w:bdr w:val="none" w:sz="0" w:space="0" w:color="auto" w:frame="1"/>
          <w14:ligatures w14:val="none"/>
        </w:rPr>
      </w:pPr>
      <w:r w:rsidRPr="00334B65">
        <w:rPr>
          <w:rFonts w:ascii="Times New Roman" w:eastAsia="Times New Roman" w:hAnsi="Times New Roman" w:cs="Times New Roman"/>
          <w:b/>
          <w:bCs/>
          <w:color w:val="000000"/>
          <w:kern w:val="0"/>
          <w:sz w:val="22"/>
          <w:szCs w:val="22"/>
          <w:bdr w:val="none" w:sz="0" w:space="0" w:color="auto" w:frame="1"/>
          <w14:ligatures w14:val="none"/>
        </w:rPr>
        <w:t>What opportunities for training and professional development has the project provided?</w:t>
      </w:r>
    </w:p>
    <w:p w14:paraId="4F93AB7B" w14:textId="36A13A3D" w:rsidR="00334B65" w:rsidRDefault="00334B65" w:rsidP="004657DC">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334B65">
        <w:rPr>
          <w:rFonts w:ascii="Times New Roman" w:eastAsia="Times New Roman" w:hAnsi="Times New Roman" w:cs="Times New Roman"/>
          <w:color w:val="000000"/>
          <w:kern w:val="0"/>
          <w:sz w:val="22"/>
          <w:szCs w:val="22"/>
          <w:bdr w:val="none" w:sz="0" w:space="0" w:color="auto" w:frame="1"/>
          <w14:ligatures w14:val="none"/>
        </w:rPr>
        <w:t xml:space="preserve">We hosted our first training workshop in Summer 2026. This workshop was held in collaboration with the IEEE Philadelphia Section and Temple University’s Office of the Vice President for Research. </w:t>
      </w:r>
      <w:r>
        <w:rPr>
          <w:rFonts w:ascii="Times New Roman" w:eastAsia="Times New Roman" w:hAnsi="Times New Roman" w:cs="Times New Roman"/>
          <w:color w:val="000000"/>
          <w:kern w:val="0"/>
          <w:sz w:val="22"/>
          <w:szCs w:val="22"/>
          <w:bdr w:val="none" w:sz="0" w:space="0" w:color="auto" w:frame="1"/>
          <w14:ligatures w14:val="none"/>
        </w:rPr>
        <w:t xml:space="preserve">We originally planned this to be an in-person hands-on workshop in which participants would learn how to run an actual quantum machine learning experiment. However, we had overwhelming demand for remote participation, so we opened the workshop to on-line participants. We had 35 in-person participants and 251 total registrants. </w:t>
      </w:r>
    </w:p>
    <w:p w14:paraId="67ADE71A" w14:textId="4D992EB8" w:rsidR="00334B65" w:rsidRDefault="00334B65" w:rsidP="004657DC">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 xml:space="preserve">The workshop was structured into three morning lectures introducing the basic theory starting with an overview of machine learning, continuing with the basics of quantum computing and ending with how to apply these concepts to a standard machine learning experiment. The afternoon session was structured into two labs driven from Python notebooks that demonstrated the basic concepts, introduced participants to how to run quantum machine learning experiments using software simulators, and concluding with participants running an actual experiment on an IBM quantum computer. </w:t>
      </w:r>
    </w:p>
    <w:p w14:paraId="3CCF955D" w14:textId="41F5554A" w:rsidR="00334B65" w:rsidRPr="00334B65" w:rsidRDefault="00334B65" w:rsidP="004657DC">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 xml:space="preserve">This one-day workshop is </w:t>
      </w:r>
      <w:proofErr w:type="gramStart"/>
      <w:r>
        <w:rPr>
          <w:rFonts w:ascii="Times New Roman" w:eastAsia="Times New Roman" w:hAnsi="Times New Roman" w:cs="Times New Roman"/>
          <w:color w:val="000000"/>
          <w:kern w:val="0"/>
          <w:sz w:val="22"/>
          <w:szCs w:val="22"/>
          <w:bdr w:val="none" w:sz="0" w:space="0" w:color="auto" w:frame="1"/>
          <w14:ligatures w14:val="none"/>
        </w:rPr>
        <w:t>fairly unique</w:t>
      </w:r>
      <w:proofErr w:type="gramEnd"/>
      <w:r>
        <w:rPr>
          <w:rFonts w:ascii="Times New Roman" w:eastAsia="Times New Roman" w:hAnsi="Times New Roman" w:cs="Times New Roman"/>
          <w:color w:val="000000"/>
          <w:kern w:val="0"/>
          <w:sz w:val="22"/>
          <w:szCs w:val="22"/>
          <w:bdr w:val="none" w:sz="0" w:space="0" w:color="auto" w:frame="1"/>
          <w14:ligatures w14:val="none"/>
        </w:rPr>
        <w:t xml:space="preserve"> in that it quickly brought participants up to speed by carefully condensing a vast amount of literature into the essential points needed to understand machine learning applications. Other comparable workshops often run for weeks. Feedback was very positive. Participants were very excited that within one day they were running actual experiments on a quantum computer, and that they left the workshop with a set of working scripts that could be easily modified to run additional experiments on their own data.</w:t>
      </w:r>
    </w:p>
    <w:p w14:paraId="142D199E" w14:textId="324D778A" w:rsidR="00AB799A" w:rsidRPr="00334B65" w:rsidRDefault="00AB799A" w:rsidP="004657DC">
      <w:pPr>
        <w:pStyle w:val="ListParagraph"/>
        <w:numPr>
          <w:ilvl w:val="0"/>
          <w:numId w:val="4"/>
        </w:numPr>
        <w:spacing w:line="240" w:lineRule="auto"/>
        <w:ind w:left="270" w:hanging="270"/>
        <w:rPr>
          <w:rFonts w:ascii="Times New Roman" w:eastAsia="Times New Roman" w:hAnsi="Times New Roman" w:cs="Times New Roman"/>
          <w:b/>
          <w:bCs/>
          <w:color w:val="000000"/>
          <w:kern w:val="0"/>
          <w:sz w:val="22"/>
          <w:szCs w:val="22"/>
          <w:bdr w:val="none" w:sz="0" w:space="0" w:color="auto" w:frame="1"/>
          <w14:ligatures w14:val="none"/>
        </w:rPr>
      </w:pPr>
      <w:r w:rsidRPr="00334B65">
        <w:rPr>
          <w:rFonts w:ascii="Times New Roman" w:eastAsia="Times New Roman" w:hAnsi="Times New Roman" w:cs="Times New Roman"/>
          <w:b/>
          <w:bCs/>
          <w:color w:val="000000"/>
          <w:kern w:val="0"/>
          <w:sz w:val="22"/>
          <w:szCs w:val="22"/>
          <w:bdr w:val="none" w:sz="0" w:space="0" w:color="auto" w:frame="1"/>
          <w14:ligatures w14:val="none"/>
        </w:rPr>
        <w:t xml:space="preserve">Have the results been disseminated to communities of interest? If so, please provide details. </w:t>
      </w:r>
    </w:p>
    <w:p w14:paraId="3D11A2C5" w14:textId="54F53B23" w:rsidR="00AB799A" w:rsidRDefault="00B00648" w:rsidP="004657DC">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Our primary means of distribution is through publication. All publications are publicly available (</w:t>
      </w:r>
      <w:proofErr w:type="spellStart"/>
      <w:r>
        <w:rPr>
          <w:rFonts w:ascii="Times New Roman" w:eastAsia="Times New Roman" w:hAnsi="Times New Roman" w:cs="Times New Roman"/>
          <w:color w:val="000000"/>
          <w:kern w:val="0"/>
          <w:sz w:val="22"/>
          <w:szCs w:val="22"/>
          <w:bdr w:val="none" w:sz="0" w:space="0" w:color="auto" w:frame="1"/>
          <w14:ligatures w14:val="none"/>
        </w:rPr>
        <w:t>DoIs</w:t>
      </w:r>
      <w:proofErr w:type="spellEnd"/>
      <w:r>
        <w:rPr>
          <w:rFonts w:ascii="Times New Roman" w:eastAsia="Times New Roman" w:hAnsi="Times New Roman" w:cs="Times New Roman"/>
          <w:color w:val="000000"/>
          <w:kern w:val="0"/>
          <w:sz w:val="22"/>
          <w:szCs w:val="22"/>
          <w:bdr w:val="none" w:sz="0" w:space="0" w:color="auto" w:frame="1"/>
          <w14:ligatures w14:val="none"/>
        </w:rPr>
        <w:t xml:space="preserve"> have been provided in this report). Conference materials are available from the conference web site. Dissertation-related materials, such as the PhD proposal document and defense, are available from the web site also. Publications under development are also available in preliminary form from our web site as well.</w:t>
      </w:r>
    </w:p>
    <w:p w14:paraId="3445BBB8" w14:textId="3A6F8872" w:rsidR="00B00648" w:rsidRDefault="00B00648" w:rsidP="004657DC">
      <w:pPr>
        <w:spacing w:line="240" w:lineRule="auto"/>
        <w:rPr>
          <w:rFonts w:ascii="Times New Roman" w:eastAsia="Times New Roman" w:hAnsi="Times New Roman" w:cs="Times New Roman"/>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Software is available from a GitHub site as well as from our organization’s web site. Our machine learning demo is directly runnable from the web site, though users can also download the code and run the system locally.</w:t>
      </w:r>
    </w:p>
    <w:p w14:paraId="187E1DDF" w14:textId="255D5B16" w:rsidR="00B00648" w:rsidRPr="00AB799A" w:rsidRDefault="00B00648" w:rsidP="004657DC">
      <w:pPr>
        <w:spacing w:line="240" w:lineRule="auto"/>
        <w:rPr>
          <w:rFonts w:ascii="Times New Roman" w:eastAsia="Times New Roman" w:hAnsi="Times New Roman" w:cs="Times New Roman"/>
          <w:b/>
          <w:bCs/>
          <w:color w:val="000000"/>
          <w:kern w:val="0"/>
          <w:sz w:val="22"/>
          <w:szCs w:val="22"/>
          <w:bdr w:val="none" w:sz="0" w:space="0" w:color="auto" w:frame="1"/>
          <w14:ligatures w14:val="none"/>
        </w:rPr>
      </w:pPr>
      <w:r>
        <w:rPr>
          <w:rFonts w:ascii="Times New Roman" w:eastAsia="Times New Roman" w:hAnsi="Times New Roman" w:cs="Times New Roman"/>
          <w:color w:val="000000"/>
          <w:kern w:val="0"/>
          <w:sz w:val="22"/>
          <w:szCs w:val="22"/>
          <w:bdr w:val="none" w:sz="0" w:space="0" w:color="auto" w:frame="1"/>
          <w14:ligatures w14:val="none"/>
        </w:rPr>
        <w:t>URLs for these resources have been provided elsewhere in the report.</w:t>
      </w:r>
    </w:p>
    <w:p w14:paraId="01085E04" w14:textId="18E4D293" w:rsidR="00AB799A" w:rsidRPr="00AB799A" w:rsidRDefault="00AB799A" w:rsidP="004657DC">
      <w:pPr>
        <w:spacing w:line="240" w:lineRule="auto"/>
        <w:rPr>
          <w:rFonts w:ascii="Times New Roman" w:eastAsia="Times New Roman" w:hAnsi="Times New Roman" w:cs="Times New Roman"/>
          <w:b/>
          <w:bCs/>
          <w:color w:val="000000"/>
          <w:kern w:val="0"/>
          <w:sz w:val="22"/>
          <w:szCs w:val="22"/>
          <w:bdr w:val="none" w:sz="0" w:space="0" w:color="auto" w:frame="1"/>
          <w14:ligatures w14:val="none"/>
        </w:rPr>
      </w:pPr>
      <w:r w:rsidRPr="00AB799A">
        <w:rPr>
          <w:rFonts w:ascii="Times New Roman" w:eastAsia="Times New Roman" w:hAnsi="Times New Roman" w:cs="Times New Roman"/>
          <w:b/>
          <w:bCs/>
          <w:color w:val="000000"/>
          <w:kern w:val="0"/>
          <w:sz w:val="22"/>
          <w:szCs w:val="22"/>
          <w:bdr w:val="none" w:sz="0" w:space="0" w:color="auto" w:frame="1"/>
          <w14:ligatures w14:val="none"/>
        </w:rPr>
        <w:t>• What do you plan to do during the next reporting period to accomplish the goals?</w:t>
      </w:r>
    </w:p>
    <w:p w14:paraId="4A7F165A" w14:textId="377933D3" w:rsidR="00AB799A" w:rsidRPr="00AB799A" w:rsidRDefault="00AB799A" w:rsidP="004657DC">
      <w:pPr>
        <w:spacing w:line="240" w:lineRule="auto"/>
        <w:rPr>
          <w:rFonts w:ascii="Times New Roman" w:eastAsia="Times New Roman" w:hAnsi="Times New Roman" w:cs="Times New Roman"/>
          <w:color w:val="000000"/>
          <w:kern w:val="0"/>
          <w:sz w:val="22"/>
          <w:szCs w:val="22"/>
          <w:bdr w:val="none" w:sz="0" w:space="0" w:color="auto" w:frame="1"/>
          <w14:ligatures w14:val="none"/>
        </w:rPr>
      </w:pPr>
      <w:r w:rsidRPr="00AB799A">
        <w:rPr>
          <w:rFonts w:ascii="Times New Roman" w:eastAsia="Times New Roman" w:hAnsi="Times New Roman" w:cs="Times New Roman"/>
          <w:color w:val="000000"/>
          <w:kern w:val="0"/>
          <w:sz w:val="22"/>
          <w:szCs w:val="22"/>
          <w:bdr w:val="none" w:sz="0" w:space="0" w:color="auto" w:frame="1"/>
          <w14:ligatures w14:val="none"/>
        </w:rPr>
        <w:t xml:space="preserve">In the final year of this project, we are focused on two things: (1) publication of our results in first-tier journals, and (2) refinement of our results on our two biomedical databases. Regarding (1), two conference papers have been submitted this year. Three journal papers are underdevelopment and expected to be submitted by the end of the 2026 calendar year. One PhD student will also complete her </w:t>
      </w:r>
      <w:r w:rsidRPr="00AB799A">
        <w:rPr>
          <w:rFonts w:ascii="Times New Roman" w:eastAsia="Times New Roman" w:hAnsi="Times New Roman" w:cs="Times New Roman"/>
          <w:color w:val="000000"/>
          <w:kern w:val="0"/>
          <w:sz w:val="22"/>
          <w:szCs w:val="22"/>
          <w:bdr w:val="none" w:sz="0" w:space="0" w:color="auto" w:frame="1"/>
          <w14:ligatures w14:val="none"/>
        </w:rPr>
        <w:lastRenderedPageBreak/>
        <w:t xml:space="preserve">PhD students and defend her dissertation. Regarding (2), we are still exploring engineering optimization of the EEG and digital pathology systems, focusing mainly on quantum feature mapping and back-end quantum ML algorithms. We believe our current approaches, which can be best described as a hybrid approach, can be improved through joint optimizations of these processes. </w:t>
      </w:r>
    </w:p>
    <w:p w14:paraId="1B86BF34" w14:textId="77777777" w:rsidR="00044004" w:rsidRPr="00AB799A" w:rsidRDefault="00044004" w:rsidP="004657DC">
      <w:pPr>
        <w:spacing w:line="240" w:lineRule="auto"/>
        <w:rPr>
          <w:rFonts w:ascii="Times New Roman" w:hAnsi="Times New Roman" w:cs="Times New Roman"/>
          <w:sz w:val="22"/>
          <w:szCs w:val="22"/>
        </w:rPr>
      </w:pPr>
    </w:p>
    <w:sectPr w:rsidR="00044004" w:rsidRPr="00AB799A" w:rsidSect="002044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7E378E"/>
    <w:multiLevelType w:val="hybridMultilevel"/>
    <w:tmpl w:val="02A255F6"/>
    <w:lvl w:ilvl="0" w:tplc="EB385C0A">
      <w:start w:val="1"/>
      <w:numFmt w:val="bullet"/>
      <w:lvlText w:val=""/>
      <w:lvlJc w:val="left"/>
      <w:pPr>
        <w:ind w:left="720" w:hanging="360"/>
      </w:pPr>
      <w:rPr>
        <w:rFonts w:ascii="Symbol" w:hAnsi="Symbol" w:hint="default"/>
        <w:b w:val="0"/>
        <w:i w:val="0"/>
        <w:sz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CE4D5C"/>
    <w:multiLevelType w:val="hybridMultilevel"/>
    <w:tmpl w:val="2B689088"/>
    <w:lvl w:ilvl="0" w:tplc="6FF487D6">
      <w:numFmt w:val="bullet"/>
      <w:lvlText w:val=""/>
      <w:lvlJc w:val="left"/>
      <w:pPr>
        <w:ind w:left="1080" w:hanging="720"/>
      </w:pPr>
      <w:rPr>
        <w:rFonts w:ascii="Symbol" w:eastAsia="Times New Roman" w:hAnsi="Symbol" w:cs="Times New Roman" w:hint="default"/>
      </w:rPr>
    </w:lvl>
    <w:lvl w:ilvl="1" w:tplc="1FC63A2E">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6A33F5"/>
    <w:multiLevelType w:val="multilevel"/>
    <w:tmpl w:val="06C4F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0C0032"/>
    <w:multiLevelType w:val="hybridMultilevel"/>
    <w:tmpl w:val="60202672"/>
    <w:lvl w:ilvl="0" w:tplc="EB385C0A">
      <w:start w:val="1"/>
      <w:numFmt w:val="bullet"/>
      <w:lvlText w:val=""/>
      <w:lvlJc w:val="left"/>
      <w:pPr>
        <w:ind w:left="720" w:hanging="360"/>
      </w:pPr>
      <w:rPr>
        <w:rFonts w:ascii="Symbol" w:hAnsi="Symbol" w:hint="default"/>
        <w:b w:val="0"/>
        <w:i w:val="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6512653">
    <w:abstractNumId w:val="2"/>
  </w:num>
  <w:num w:numId="2" w16cid:durableId="712970608">
    <w:abstractNumId w:val="0"/>
  </w:num>
  <w:num w:numId="3" w16cid:durableId="62921323">
    <w:abstractNumId w:val="1"/>
  </w:num>
  <w:num w:numId="4" w16cid:durableId="130038456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99A"/>
    <w:rsid w:val="00044004"/>
    <w:rsid w:val="00072E87"/>
    <w:rsid w:val="00094284"/>
    <w:rsid w:val="001541F0"/>
    <w:rsid w:val="0020440B"/>
    <w:rsid w:val="00334B65"/>
    <w:rsid w:val="0042722B"/>
    <w:rsid w:val="004657DC"/>
    <w:rsid w:val="006B32DB"/>
    <w:rsid w:val="00706250"/>
    <w:rsid w:val="007F6DEF"/>
    <w:rsid w:val="00AB799A"/>
    <w:rsid w:val="00B00648"/>
    <w:rsid w:val="00C80A02"/>
    <w:rsid w:val="00C95B79"/>
    <w:rsid w:val="00EA70D1"/>
    <w:rsid w:val="00EF5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8C0B93"/>
  <w15:chartTrackingRefBased/>
  <w15:docId w15:val="{AED37758-D837-9745-BF94-6B2A115D4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7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7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79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7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7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7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7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7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7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9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79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79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79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79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7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99A"/>
    <w:rPr>
      <w:rFonts w:eastAsiaTheme="majorEastAsia" w:cstheme="majorBidi"/>
      <w:color w:val="272727" w:themeColor="text1" w:themeTint="D8"/>
    </w:rPr>
  </w:style>
  <w:style w:type="paragraph" w:styleId="Title">
    <w:name w:val="Title"/>
    <w:basedOn w:val="Normal"/>
    <w:next w:val="Normal"/>
    <w:link w:val="TitleChar"/>
    <w:uiPriority w:val="10"/>
    <w:qFormat/>
    <w:rsid w:val="00AB7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99A"/>
    <w:pPr>
      <w:spacing w:before="160"/>
      <w:jc w:val="center"/>
    </w:pPr>
    <w:rPr>
      <w:i/>
      <w:iCs/>
      <w:color w:val="404040" w:themeColor="text1" w:themeTint="BF"/>
    </w:rPr>
  </w:style>
  <w:style w:type="character" w:customStyle="1" w:styleId="QuoteChar">
    <w:name w:val="Quote Char"/>
    <w:basedOn w:val="DefaultParagraphFont"/>
    <w:link w:val="Quote"/>
    <w:uiPriority w:val="29"/>
    <w:rsid w:val="00AB799A"/>
    <w:rPr>
      <w:i/>
      <w:iCs/>
      <w:color w:val="404040" w:themeColor="text1" w:themeTint="BF"/>
    </w:rPr>
  </w:style>
  <w:style w:type="paragraph" w:styleId="ListParagraph">
    <w:name w:val="List Paragraph"/>
    <w:basedOn w:val="Normal"/>
    <w:uiPriority w:val="34"/>
    <w:qFormat/>
    <w:rsid w:val="00AB799A"/>
    <w:pPr>
      <w:ind w:left="720"/>
      <w:contextualSpacing/>
    </w:pPr>
  </w:style>
  <w:style w:type="character" w:styleId="IntenseEmphasis">
    <w:name w:val="Intense Emphasis"/>
    <w:basedOn w:val="DefaultParagraphFont"/>
    <w:uiPriority w:val="21"/>
    <w:qFormat/>
    <w:rsid w:val="00AB799A"/>
    <w:rPr>
      <w:i/>
      <w:iCs/>
      <w:color w:val="0F4761" w:themeColor="accent1" w:themeShade="BF"/>
    </w:rPr>
  </w:style>
  <w:style w:type="paragraph" w:styleId="IntenseQuote">
    <w:name w:val="Intense Quote"/>
    <w:basedOn w:val="Normal"/>
    <w:next w:val="Normal"/>
    <w:link w:val="IntenseQuoteChar"/>
    <w:uiPriority w:val="30"/>
    <w:qFormat/>
    <w:rsid w:val="00AB7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799A"/>
    <w:rPr>
      <w:i/>
      <w:iCs/>
      <w:color w:val="0F4761" w:themeColor="accent1" w:themeShade="BF"/>
    </w:rPr>
  </w:style>
  <w:style w:type="character" w:styleId="IntenseReference">
    <w:name w:val="Intense Reference"/>
    <w:basedOn w:val="DefaultParagraphFont"/>
    <w:uiPriority w:val="32"/>
    <w:qFormat/>
    <w:rsid w:val="00AB799A"/>
    <w:rPr>
      <w:b/>
      <w:bCs/>
      <w:smallCaps/>
      <w:color w:val="0F4761" w:themeColor="accent1" w:themeShade="BF"/>
      <w:spacing w:val="5"/>
    </w:rPr>
  </w:style>
  <w:style w:type="paragraph" w:customStyle="1" w:styleId="float-left">
    <w:name w:val="float-left"/>
    <w:basedOn w:val="Normal"/>
    <w:rsid w:val="00AB799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B799A"/>
    <w:rPr>
      <w:b/>
      <w:bCs/>
    </w:rPr>
  </w:style>
  <w:style w:type="paragraph" w:customStyle="1" w:styleId="nopad">
    <w:name w:val="nopad"/>
    <w:basedOn w:val="Normal"/>
    <w:rsid w:val="00AB799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tereqd">
    <w:name w:val="notereqd"/>
    <w:basedOn w:val="DefaultParagraphFont"/>
    <w:rsid w:val="00AB799A"/>
  </w:style>
  <w:style w:type="character" w:customStyle="1" w:styleId="float-right">
    <w:name w:val="float-right"/>
    <w:basedOn w:val="DefaultParagraphFont"/>
    <w:rsid w:val="00AB799A"/>
  </w:style>
  <w:style w:type="paragraph" w:customStyle="1" w:styleId="isselectedend">
    <w:name w:val="isselectedend"/>
    <w:basedOn w:val="Normal"/>
    <w:rsid w:val="004657D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4657D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5</Pages>
  <Words>2676</Words>
  <Characters>13652</Characters>
  <Application>Microsoft Office Word</Application>
  <DocSecurity>0</DocSecurity>
  <Lines>252</Lines>
  <Paragraphs>187</Paragraphs>
  <ScaleCrop>false</ScaleCrop>
  <Company/>
  <LinksUpToDate>false</LinksUpToDate>
  <CharactersWithSpaces>16141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Picone</dc:creator>
  <cp:keywords/>
  <dc:description/>
  <cp:lastModifiedBy>Joseph Picone</cp:lastModifiedBy>
  <cp:revision>9</cp:revision>
  <dcterms:created xsi:type="dcterms:W3CDTF">2026-09-20T01:39:00Z</dcterms:created>
  <dcterms:modified xsi:type="dcterms:W3CDTF">2026-09-21T01:49:00Z</dcterms:modified>
</cp:coreProperties>
</file>