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D0DF3" w14:textId="7653BF2A" w:rsidR="004F5183" w:rsidRDefault="004F5183" w:rsidP="004F5183">
      <w:pPr>
        <w:pStyle w:val="TOC1"/>
      </w:pPr>
      <w:r>
        <w:t>SafeStep</w:t>
      </w:r>
    </w:p>
    <w:p w14:paraId="7E38363F" w14:textId="77777777" w:rsidR="00B84D44" w:rsidRPr="00B84D44" w:rsidRDefault="00B84D44" w:rsidP="00B84D44">
      <w:pPr>
        <w:jc w:val="center"/>
      </w:pPr>
      <w:r w:rsidRPr="00B84D44">
        <w:t>An Automatic Hazards Detection Blind Cane</w:t>
      </w:r>
    </w:p>
    <w:p w14:paraId="229E3B06" w14:textId="77777777" w:rsidR="00B84D44" w:rsidRPr="00B84D44" w:rsidRDefault="00B84D44" w:rsidP="00FD08D1">
      <w:pPr>
        <w:jc w:val="center"/>
      </w:pPr>
      <w:r w:rsidRPr="00B84D44">
        <w:t>Kevin Bui, Mohamad Charabi, Nathan Pervin, Mikita Piatsevich</w:t>
      </w:r>
    </w:p>
    <w:p w14:paraId="60209341" w14:textId="77777777" w:rsidR="00FD08D1" w:rsidRPr="00FD08D1" w:rsidRDefault="00FD08D1" w:rsidP="00FD08D1">
      <w:pPr>
        <w:jc w:val="center"/>
      </w:pPr>
      <w:r w:rsidRPr="00FD08D1">
        <w:t>Advisor: Dr. Joseph Picone</w:t>
      </w:r>
    </w:p>
    <w:p w14:paraId="4C319D29" w14:textId="77777777" w:rsidR="004F5183" w:rsidRDefault="004F5183" w:rsidP="004F5183"/>
    <w:p w14:paraId="02BDE0FF" w14:textId="77777777" w:rsidR="004F5183" w:rsidRDefault="004F5183" w:rsidP="004F5183"/>
    <w:p w14:paraId="01174855" w14:textId="77777777" w:rsidR="004F5183" w:rsidRPr="004F5183" w:rsidRDefault="004F5183" w:rsidP="004F5183"/>
    <w:p w14:paraId="0095416B" w14:textId="6560398F" w:rsidR="00DF297C" w:rsidRPr="00DF297C" w:rsidRDefault="00DF297C" w:rsidP="004F5183">
      <w:pPr>
        <w:pStyle w:val="TOC1"/>
        <w:jc w:val="left"/>
      </w:pPr>
      <w:r w:rsidRPr="00DF297C">
        <w:t>Table Of Contents</w:t>
      </w:r>
    </w:p>
    <w:p w14:paraId="6B1E7A58" w14:textId="71144A83" w:rsidR="00AD5F2B" w:rsidRDefault="00DF297C">
      <w:pPr>
        <w:pStyle w:val="TOC1"/>
        <w:rPr>
          <w:rFonts w:eastAsiaTheme="minorEastAsia"/>
          <w:b w:val="0"/>
          <w:bCs w:val="0"/>
          <w:noProof/>
          <w:sz w:val="24"/>
          <w:szCs w:val="24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9020888" w:history="1">
        <w:r w:rsidR="00AD5F2B" w:rsidRPr="00C245D3">
          <w:rPr>
            <w:rStyle w:val="Hyperlink"/>
            <w:noProof/>
          </w:rPr>
          <w:t>Overall Objective</w:t>
        </w:r>
        <w:r w:rsidR="00AD5F2B">
          <w:rPr>
            <w:noProof/>
            <w:webHidden/>
          </w:rPr>
          <w:tab/>
        </w:r>
        <w:r w:rsidR="00AD5F2B">
          <w:rPr>
            <w:noProof/>
            <w:webHidden/>
          </w:rPr>
          <w:fldChar w:fldCharType="begin"/>
        </w:r>
        <w:r w:rsidR="00AD5F2B">
          <w:rPr>
            <w:noProof/>
            <w:webHidden/>
          </w:rPr>
          <w:instrText xml:space="preserve"> PAGEREF _Toc239020888 \h </w:instrText>
        </w:r>
        <w:r w:rsidR="00AD5F2B">
          <w:rPr>
            <w:noProof/>
            <w:webHidden/>
          </w:rPr>
        </w:r>
        <w:r w:rsidR="00AD5F2B">
          <w:rPr>
            <w:noProof/>
            <w:webHidden/>
          </w:rPr>
          <w:fldChar w:fldCharType="separate"/>
        </w:r>
        <w:r w:rsidR="00234FA2">
          <w:rPr>
            <w:noProof/>
            <w:webHidden/>
          </w:rPr>
          <w:t>2</w:t>
        </w:r>
        <w:r w:rsidR="00AD5F2B">
          <w:rPr>
            <w:noProof/>
            <w:webHidden/>
          </w:rPr>
          <w:fldChar w:fldCharType="end"/>
        </w:r>
      </w:hyperlink>
    </w:p>
    <w:p w14:paraId="0B488133" w14:textId="435951D0" w:rsidR="00AD5F2B" w:rsidRDefault="00AD5F2B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hyperlink w:anchor="_Toc239020889" w:history="1">
        <w:r w:rsidRPr="00C245D3">
          <w:rPr>
            <w:rStyle w:val="Hyperlink"/>
            <w:noProof/>
          </w:rPr>
          <w:t>Final Deliverable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_Toc239020889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4FA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791457C" w14:textId="7FFE66AB" w:rsidR="00AD5F2B" w:rsidRDefault="00AD5F2B">
      <w:pPr>
        <w:pStyle w:val="TOC1"/>
        <w:rPr>
          <w:rFonts w:eastAsiaTheme="minorEastAsia"/>
          <w:b w:val="0"/>
          <w:bCs w:val="0"/>
          <w:noProof/>
          <w:sz w:val="24"/>
          <w:szCs w:val="24"/>
        </w:rPr>
      </w:pPr>
      <w:hyperlink w:anchor="_Toc239020890" w:history="1">
        <w:r w:rsidRPr="00C245D3">
          <w:rPr>
            <w:rStyle w:val="Hyperlink"/>
            <w:noProof/>
          </w:rPr>
          <w:t>Background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_Toc239020890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4FA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B239C96" w14:textId="2CB34351" w:rsidR="00AD5F2B" w:rsidRDefault="00AD5F2B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hyperlink w:anchor="_Toc239020891" w:history="1">
        <w:r w:rsidRPr="00C245D3">
          <w:rPr>
            <w:rStyle w:val="Hyperlink"/>
            <w:noProof/>
          </w:rPr>
          <w:t>Scope of the Problem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_Toc239020891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4FA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03AE7C1" w14:textId="230C0F6B" w:rsidR="00AD5F2B" w:rsidRDefault="00AD5F2B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hyperlink w:anchor="_Toc239020892" w:history="1">
        <w:r w:rsidRPr="00C245D3">
          <w:rPr>
            <w:rStyle w:val="Hyperlink"/>
            <w:noProof/>
          </w:rPr>
          <w:t>Existing Design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_Toc239020892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4FA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D9B8F9" w14:textId="18CC87E6" w:rsidR="00AD5F2B" w:rsidRDefault="00AD5F2B">
      <w:pPr>
        <w:pStyle w:val="TOC1"/>
        <w:rPr>
          <w:rFonts w:eastAsiaTheme="minorEastAsia"/>
          <w:b w:val="0"/>
          <w:bCs w:val="0"/>
          <w:noProof/>
          <w:sz w:val="24"/>
          <w:szCs w:val="24"/>
        </w:rPr>
      </w:pPr>
      <w:hyperlink w:anchor="_Toc239020893" w:history="1">
        <w:r w:rsidRPr="00C245D3">
          <w:rPr>
            <w:rStyle w:val="Hyperlink"/>
            <w:noProof/>
          </w:rPr>
          <w:t>Needs 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_Toc239020893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4FA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199E479" w14:textId="23EF9BA4" w:rsidR="00AD5F2B" w:rsidRDefault="00AD5F2B">
      <w:pPr>
        <w:pStyle w:val="TOC1"/>
        <w:rPr>
          <w:rFonts w:eastAsiaTheme="minorEastAsia"/>
          <w:b w:val="0"/>
          <w:bCs w:val="0"/>
          <w:noProof/>
          <w:sz w:val="24"/>
          <w:szCs w:val="24"/>
        </w:rPr>
      </w:pPr>
      <w:hyperlink w:anchor="_Toc239020894" w:history="1">
        <w:r w:rsidRPr="00C245D3">
          <w:rPr>
            <w:rStyle w:val="Hyperlink"/>
            <w:noProof/>
          </w:rPr>
          <w:t>Implications of Project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_Toc239020894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4FA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7DEE2C1" w14:textId="29AF3F26" w:rsidR="00AD5F2B" w:rsidRDefault="00AD5F2B">
      <w:pPr>
        <w:pStyle w:val="TOC1"/>
        <w:rPr>
          <w:rFonts w:eastAsiaTheme="minorEastAsia"/>
          <w:b w:val="0"/>
          <w:bCs w:val="0"/>
          <w:noProof/>
          <w:sz w:val="24"/>
          <w:szCs w:val="24"/>
        </w:rPr>
      </w:pPr>
      <w:hyperlink w:anchor="_Toc239020895" w:history="1">
        <w:r w:rsidRPr="00C245D3">
          <w:rPr>
            <w:rStyle w:val="Hyperlink"/>
            <w:noProof/>
          </w:rPr>
          <w:t>Citations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_Toc239020895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4FA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F2489CE" w14:textId="7CADD60F" w:rsidR="00DF297C" w:rsidRDefault="00DF297C" w:rsidP="00BD0FCE">
      <w:pPr>
        <w:pStyle w:val="Heading1"/>
      </w:pPr>
      <w:r>
        <w:fldChar w:fldCharType="end"/>
      </w:r>
    </w:p>
    <w:p w14:paraId="01BCD133" w14:textId="77777777" w:rsidR="00DF297C" w:rsidRDefault="00DF297C" w:rsidP="00DF297C"/>
    <w:p w14:paraId="25D7EE07" w14:textId="77777777" w:rsidR="00DF297C" w:rsidRDefault="00DF297C" w:rsidP="00DF297C"/>
    <w:p w14:paraId="124AA62D" w14:textId="77777777" w:rsidR="00DF297C" w:rsidRDefault="00DF297C" w:rsidP="00DF297C"/>
    <w:p w14:paraId="34087AB1" w14:textId="77777777" w:rsidR="00DF297C" w:rsidRDefault="00DF297C" w:rsidP="00DF297C"/>
    <w:p w14:paraId="4B7A8A83" w14:textId="77777777" w:rsidR="00DF297C" w:rsidRDefault="00DF297C" w:rsidP="00DF297C"/>
    <w:p w14:paraId="28E33A71" w14:textId="77777777" w:rsidR="00DF297C" w:rsidRPr="00DF297C" w:rsidRDefault="00DF297C" w:rsidP="00DF297C"/>
    <w:p w14:paraId="7B0CB3AA" w14:textId="01FCED34" w:rsidR="00A05EBA" w:rsidRDefault="00BD0FCE" w:rsidP="00BD0FCE">
      <w:pPr>
        <w:pStyle w:val="Heading1"/>
      </w:pPr>
      <w:bookmarkStart w:id="0" w:name="_Toc239020888"/>
      <w:r>
        <w:lastRenderedPageBreak/>
        <w:t>Overall Objective</w:t>
      </w:r>
      <w:bookmarkEnd w:id="0"/>
    </w:p>
    <w:p w14:paraId="3C373E5F" w14:textId="6F67A742" w:rsidR="00C7380A" w:rsidRPr="00C7380A" w:rsidRDefault="00A54AF2" w:rsidP="00C7380A">
      <w:r w:rsidRPr="00A54AF2">
        <w:t>Blindness and vision impairment are increasing globally</w:t>
      </w:r>
      <w:r>
        <w:t xml:space="preserve"> </w:t>
      </w:r>
      <w:sdt>
        <w:sdtPr>
          <w:id w:val="-455794603"/>
          <w:citation/>
        </w:sdtPr>
        <w:sdtEndPr/>
        <w:sdtContent>
          <w:r>
            <w:fldChar w:fldCharType="begin"/>
          </w:r>
          <w:r>
            <w:instrText xml:space="preserve"> CITATION Bou20 \l 1033 </w:instrText>
          </w:r>
          <w:r>
            <w:fldChar w:fldCharType="separate"/>
          </w:r>
          <w:r>
            <w:rPr>
              <w:noProof/>
            </w:rPr>
            <w:t>[1]</w:t>
          </w:r>
          <w:r>
            <w:fldChar w:fldCharType="end"/>
          </w:r>
        </w:sdtContent>
      </w:sdt>
      <w:r>
        <w:t xml:space="preserve">. </w:t>
      </w:r>
      <w:r w:rsidR="00C7380A">
        <w:t>Traditional b</w:t>
      </w:r>
      <w:r w:rsidR="00C7380A" w:rsidRPr="00C7380A">
        <w:t>lind canes can’t detect all hazards</w:t>
      </w:r>
      <w:r w:rsidR="00C7380A">
        <w:t>. For example, overhanging signs or tree branches which</w:t>
      </w:r>
      <w:r w:rsidR="007F78EF">
        <w:t xml:space="preserve"> are an obstacle in the path of a person, but with no connection to the ground which a blind cane requires for detection. </w:t>
      </w:r>
      <w:r w:rsidR="0090241E">
        <w:t>As a result, falls and collisions can occur.</w:t>
      </w:r>
      <w:r w:rsidR="0022486F">
        <w:t xml:space="preserve"> </w:t>
      </w:r>
      <w:r w:rsidR="009A3E4B">
        <w:t xml:space="preserve">76 people with </w:t>
      </w:r>
      <w:r w:rsidR="00747513">
        <w:t xml:space="preserve">visual impairment were studied over a 12-month period and 74% reported at least 1 fall or injury event in that time, </w:t>
      </w:r>
      <w:r w:rsidR="001802E7">
        <w:t>and 63% of falls resulted in an injury</w:t>
      </w:r>
      <w:r w:rsidR="0090241E">
        <w:t xml:space="preserve"> </w:t>
      </w:r>
      <w:sdt>
        <w:sdtPr>
          <w:id w:val="-738560732"/>
          <w:citation/>
        </w:sdtPr>
        <w:sdtEndPr/>
        <w:sdtContent>
          <w:r w:rsidR="0022486F">
            <w:fldChar w:fldCharType="begin"/>
          </w:r>
          <w:r w:rsidR="0022486F">
            <w:instrText xml:space="preserve"> CITATION Bru15 \l 1033 </w:instrText>
          </w:r>
          <w:r w:rsidR="0022486F">
            <w:fldChar w:fldCharType="separate"/>
          </w:r>
          <w:r>
            <w:rPr>
              <w:noProof/>
            </w:rPr>
            <w:t>[2]</w:t>
          </w:r>
          <w:r w:rsidR="0022486F">
            <w:fldChar w:fldCharType="end"/>
          </w:r>
        </w:sdtContent>
      </w:sdt>
      <w:r w:rsidR="008633FB">
        <w:t xml:space="preserve">. </w:t>
      </w:r>
      <w:r w:rsidR="00C7380A">
        <w:t xml:space="preserve"> </w:t>
      </w:r>
    </w:p>
    <w:p w14:paraId="20FEF603" w14:textId="2E6099CE" w:rsidR="00DF297C" w:rsidRDefault="00DF297C" w:rsidP="00E11C6A"/>
    <w:p w14:paraId="0248E01A" w14:textId="329FF0C9" w:rsidR="00E11C6A" w:rsidRDefault="00E11C6A" w:rsidP="00E11C6A">
      <w:pPr>
        <w:pStyle w:val="Heading2"/>
      </w:pPr>
      <w:bookmarkStart w:id="1" w:name="_Toc239020889"/>
      <w:r>
        <w:t>Final Deliverable</w:t>
      </w:r>
      <w:bookmarkEnd w:id="1"/>
    </w:p>
    <w:p w14:paraId="3BD3AED2" w14:textId="7861DB69" w:rsidR="00E11C6A" w:rsidRDefault="00E11C6A" w:rsidP="00E11C6A">
      <w:r>
        <w:t>A</w:t>
      </w:r>
      <w:r w:rsidR="006946E4">
        <w:t xml:space="preserve"> blind cane that is retrofitted with a custom-designed handle that incorporates the sensing technology we design.</w:t>
      </w:r>
      <w:r w:rsidR="008E3923">
        <w:t xml:space="preserve"> As this is a continuation of </w:t>
      </w:r>
      <w:r w:rsidR="00A97EB6">
        <w:t xml:space="preserve">a first-semester senior design project, the deliverable will be an upgraded version of the prototype. </w:t>
      </w:r>
    </w:p>
    <w:p w14:paraId="6E23B385" w14:textId="77777777" w:rsidR="00F46804" w:rsidRDefault="00893D38" w:rsidP="00F46804">
      <w:pPr>
        <w:keepNext/>
        <w:jc w:val="center"/>
      </w:pPr>
      <w:r w:rsidRPr="00893D38">
        <w:rPr>
          <w:noProof/>
        </w:rPr>
        <w:drawing>
          <wp:inline distT="0" distB="0" distL="0" distR="0" wp14:anchorId="636CA8DD" wp14:editId="34C0B049">
            <wp:extent cx="2157412" cy="3037280"/>
            <wp:effectExtent l="0" t="0" r="0" b="0"/>
            <wp:docPr id="1570395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954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9094" cy="305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3E6" w:rsidRPr="001963E6">
        <w:rPr>
          <w:noProof/>
        </w:rPr>
        <w:drawing>
          <wp:inline distT="0" distB="0" distL="0" distR="0" wp14:anchorId="4C528791" wp14:editId="513C7E55">
            <wp:extent cx="1701391" cy="3024188"/>
            <wp:effectExtent l="0" t="0" r="0" b="5080"/>
            <wp:docPr id="67764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6477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8830" cy="303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9CC02" w14:textId="1009D0D4" w:rsidR="006946E4" w:rsidRDefault="00F46804" w:rsidP="00F46804">
      <w:pPr>
        <w:pStyle w:val="Caption"/>
        <w:jc w:val="center"/>
      </w:pPr>
      <w:r>
        <w:t xml:space="preserve">Figure </w:t>
      </w:r>
      <w:fldSimple w:instr=" SEQ Figure \* ARABIC ">
        <w:r w:rsidR="00FF3F77">
          <w:rPr>
            <w:noProof/>
          </w:rPr>
          <w:t>1</w:t>
        </w:r>
      </w:fldSimple>
      <w:r>
        <w:t xml:space="preserve">: </w:t>
      </w:r>
      <w:r w:rsidR="0026701B">
        <w:t xml:space="preserve">Original </w:t>
      </w:r>
      <w:r>
        <w:t>SafeStep Prototype</w:t>
      </w:r>
    </w:p>
    <w:p w14:paraId="35AD39D8" w14:textId="77777777" w:rsidR="00F46804" w:rsidRDefault="00F46804" w:rsidP="00F46804">
      <w:r>
        <w:t>These upgrades will include:</w:t>
      </w:r>
    </w:p>
    <w:p w14:paraId="5190D4E1" w14:textId="77777777" w:rsidR="00F46804" w:rsidRDefault="00F46804" w:rsidP="00F46804">
      <w:pPr>
        <w:pStyle w:val="ListParagraph"/>
        <w:numPr>
          <w:ilvl w:val="0"/>
          <w:numId w:val="1"/>
        </w:numPr>
      </w:pPr>
      <w:r>
        <w:t>Slimmer enclosure (improves foldability and reduces weight)</w:t>
      </w:r>
    </w:p>
    <w:p w14:paraId="3C43AB88" w14:textId="77777777" w:rsidR="00F46804" w:rsidRDefault="00F46804" w:rsidP="00F46804">
      <w:pPr>
        <w:pStyle w:val="ListParagraph"/>
        <w:numPr>
          <w:ilvl w:val="0"/>
          <w:numId w:val="1"/>
        </w:numPr>
      </w:pPr>
      <w:r>
        <w:t>Reinforced cane segment insert on the handle (avoid layer line fracture seen in prototype)</w:t>
      </w:r>
    </w:p>
    <w:p w14:paraId="0B185A8C" w14:textId="77777777" w:rsidR="00F46804" w:rsidRDefault="00F46804" w:rsidP="00F46804">
      <w:pPr>
        <w:pStyle w:val="ListParagraph"/>
        <w:numPr>
          <w:ilvl w:val="0"/>
          <w:numId w:val="1"/>
        </w:numPr>
      </w:pPr>
      <w:r>
        <w:t>More accessible charging port location (in base of handle in redesign)</w:t>
      </w:r>
    </w:p>
    <w:p w14:paraId="53B08362" w14:textId="77777777" w:rsidR="00F46804" w:rsidRPr="00E11C6A" w:rsidRDefault="00F46804" w:rsidP="001963E6">
      <w:pPr>
        <w:jc w:val="center"/>
      </w:pPr>
    </w:p>
    <w:p w14:paraId="03E23F4D" w14:textId="77777777" w:rsidR="001B6542" w:rsidRDefault="00BD0FCE" w:rsidP="00BD0FCE">
      <w:pPr>
        <w:pStyle w:val="Heading1"/>
      </w:pPr>
      <w:bookmarkStart w:id="2" w:name="_Toc239020890"/>
      <w:r>
        <w:lastRenderedPageBreak/>
        <w:t>Background</w:t>
      </w:r>
      <w:bookmarkEnd w:id="2"/>
    </w:p>
    <w:p w14:paraId="73B0DE3C" w14:textId="672D6239" w:rsidR="007A41E6" w:rsidRPr="007A41E6" w:rsidRDefault="007A41E6" w:rsidP="007A41E6">
      <w:pPr>
        <w:pStyle w:val="Heading2"/>
      </w:pPr>
      <w:bookmarkStart w:id="3" w:name="_Toc239020891"/>
      <w:r>
        <w:t>Scope of the Problem</w:t>
      </w:r>
      <w:bookmarkEnd w:id="3"/>
    </w:p>
    <w:p w14:paraId="2F4C18FF" w14:textId="77777777" w:rsidR="005B2AAD" w:rsidRDefault="00F647D9" w:rsidP="00480059">
      <w:r w:rsidRPr="00F647D9">
        <w:rPr>
          <w:noProof/>
        </w:rPr>
        <w:drawing>
          <wp:inline distT="0" distB="0" distL="0" distR="0" wp14:anchorId="65E93AE8" wp14:editId="30C4A5B1">
            <wp:extent cx="5943600" cy="2540635"/>
            <wp:effectExtent l="0" t="0" r="0" b="0"/>
            <wp:docPr id="1900066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6611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6314E" w14:textId="3159E3CB" w:rsidR="00BD0FCE" w:rsidRDefault="005B2AAD" w:rsidP="005B2AAD">
      <w:pPr>
        <w:pStyle w:val="Caption"/>
        <w:jc w:val="center"/>
      </w:pPr>
      <w:bookmarkStart w:id="4" w:name="_Ref238980608"/>
      <w:r>
        <w:t xml:space="preserve">Figure </w:t>
      </w:r>
      <w:fldSimple w:instr=" SEQ Figure \* ARABIC ">
        <w:r w:rsidR="00FF3F77">
          <w:rPr>
            <w:noProof/>
          </w:rPr>
          <w:t>2</w:t>
        </w:r>
      </w:fldSimple>
      <w:bookmarkEnd w:id="4"/>
      <w:r>
        <w:t>: The Projected Increase in the Worldwide Numb</w:t>
      </w:r>
      <w:r w:rsidR="00D33B83">
        <w:t>er of Visually Impaired People</w:t>
      </w:r>
      <w:sdt>
        <w:sdtPr>
          <w:id w:val="-2130621211"/>
          <w:citation/>
        </w:sdtPr>
        <w:sdtEndPr/>
        <w:sdtContent>
          <w:r>
            <w:fldChar w:fldCharType="begin"/>
          </w:r>
          <w:r w:rsidR="004A64B5">
            <w:instrText xml:space="preserve">CITATION Bou20 \l 1033 </w:instrText>
          </w:r>
          <w:r>
            <w:fldChar w:fldCharType="separate"/>
          </w:r>
          <w:r>
            <w:rPr>
              <w:noProof/>
            </w:rPr>
            <w:t xml:space="preserve"> [1]</w:t>
          </w:r>
          <w:r>
            <w:fldChar w:fldCharType="end"/>
          </w:r>
        </w:sdtContent>
      </w:sdt>
    </w:p>
    <w:p w14:paraId="480F4EF7" w14:textId="107530F0" w:rsidR="001B6542" w:rsidRDefault="001D05AA" w:rsidP="001B6542">
      <w:r>
        <w:t xml:space="preserve">As seen in </w:t>
      </w:r>
      <w:r>
        <w:fldChar w:fldCharType="begin"/>
      </w:r>
      <w:r>
        <w:instrText xml:space="preserve"> REF _Ref238980608 \h </w:instrText>
      </w:r>
      <w:r>
        <w:fldChar w:fldCharType="separate"/>
      </w:r>
      <w:r>
        <w:t xml:space="preserve">Figure </w:t>
      </w:r>
      <w:r>
        <w:rPr>
          <w:noProof/>
        </w:rPr>
        <w:t>1</w:t>
      </w:r>
      <w:r>
        <w:fldChar w:fldCharType="end"/>
      </w:r>
      <w:r>
        <w:t>, the number of blind</w:t>
      </w:r>
      <w:r w:rsidR="000026AC">
        <w:t xml:space="preserve"> people is projected to increase by </w:t>
      </w:r>
      <w:r w:rsidR="00396CC0">
        <w:t>over 10 million</w:t>
      </w:r>
      <w:r w:rsidR="008E2DFB">
        <w:t xml:space="preserve"> in the next 30 years</w:t>
      </w:r>
      <w:r w:rsidR="00396CC0">
        <w:t xml:space="preserve">. The number of moderate and severely visually impaired people </w:t>
      </w:r>
      <w:r w:rsidR="008E2DFB">
        <w:t>is projected to</w:t>
      </w:r>
      <w:r w:rsidR="00396CC0">
        <w:t xml:space="preserve"> increase </w:t>
      </w:r>
      <w:r w:rsidR="008E2DFB">
        <w:t>over 100 million in the next 30 years.</w:t>
      </w:r>
      <w:r>
        <w:t xml:space="preserve"> </w:t>
      </w:r>
    </w:p>
    <w:p w14:paraId="171610FA" w14:textId="77777777" w:rsidR="00757C00" w:rsidRDefault="00757C00" w:rsidP="001B6542"/>
    <w:p w14:paraId="497C1E19" w14:textId="617B7CC8" w:rsidR="00757C00" w:rsidRDefault="00757C00" w:rsidP="00757C00">
      <w:pPr>
        <w:pStyle w:val="Heading2"/>
      </w:pPr>
      <w:bookmarkStart w:id="5" w:name="_Toc239020892"/>
      <w:r>
        <w:t>Existing Design</w:t>
      </w:r>
      <w:bookmarkEnd w:id="5"/>
    </w:p>
    <w:p w14:paraId="6A4AEE77" w14:textId="6DCD5FDC" w:rsidR="00E11C6A" w:rsidRDefault="008D7A75" w:rsidP="001B6542">
      <w:r>
        <w:t xml:space="preserve">The most commonly used </w:t>
      </w:r>
      <w:r w:rsidR="00214380">
        <w:t xml:space="preserve">assistive device is the blind cane, also called a white cane. This is typically a white cane </w:t>
      </w:r>
      <w:r w:rsidR="009D61B4">
        <w:t xml:space="preserve">decorated </w:t>
      </w:r>
      <w:r w:rsidR="00214380">
        <w:t>with reflective mater</w:t>
      </w:r>
      <w:r w:rsidR="009D61B4">
        <w:t>ial that has</w:t>
      </w:r>
      <w:r w:rsidR="00A95B96">
        <w:t xml:space="preserve"> a variety of tip types which interact with the ground. The blind person swings or taps the cane from side to side as they travel forward, </w:t>
      </w:r>
      <w:r w:rsidR="00204B08">
        <w:t xml:space="preserve">detecting objects in the path of travel as well as ground marking that indicate points of interest such as crosswalks. </w:t>
      </w:r>
    </w:p>
    <w:p w14:paraId="6F6A9D67" w14:textId="3F9D8C72" w:rsidR="00F1307A" w:rsidRDefault="00F1307A" w:rsidP="001B6542">
      <w:r>
        <w:t xml:space="preserve">There have been companies that </w:t>
      </w:r>
      <w:r w:rsidR="00E500A3">
        <w:t xml:space="preserve">have developed </w:t>
      </w:r>
      <w:r w:rsidR="006B1BCC">
        <w:t>blind canes w</w:t>
      </w:r>
      <w:r w:rsidR="00080227">
        <w:t xml:space="preserve">hich have additional electronic sensing capabilities. One popular example is the </w:t>
      </w:r>
      <w:r w:rsidR="00194E70">
        <w:t>WeWALK Smart Cane</w:t>
      </w:r>
      <w:r w:rsidR="00FF3F77">
        <w:t xml:space="preserve"> 2.</w:t>
      </w:r>
    </w:p>
    <w:p w14:paraId="6632A643" w14:textId="77777777" w:rsidR="00FF3F77" w:rsidRDefault="00FF3F77" w:rsidP="00FF3F77">
      <w:pPr>
        <w:keepNext/>
        <w:jc w:val="center"/>
      </w:pPr>
      <w:r w:rsidRPr="00FF3F77">
        <w:rPr>
          <w:noProof/>
        </w:rPr>
        <w:lastRenderedPageBreak/>
        <w:drawing>
          <wp:inline distT="0" distB="0" distL="0" distR="0" wp14:anchorId="7744EC1E" wp14:editId="15F705AF">
            <wp:extent cx="3748088" cy="3317217"/>
            <wp:effectExtent l="0" t="0" r="5080" b="0"/>
            <wp:docPr id="90707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78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69239" cy="33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FD512" w14:textId="12AED2F6" w:rsidR="00FF3F77" w:rsidRDefault="00FF3F77" w:rsidP="00FF3F77">
      <w:pPr>
        <w:pStyle w:val="Caption"/>
        <w:jc w:val="center"/>
      </w:pPr>
      <w:bookmarkStart w:id="6" w:name="_Ref238983290"/>
      <w:r>
        <w:t xml:space="preserve">Figure </w:t>
      </w:r>
      <w:fldSimple w:instr=" SEQ Figure \* ARABIC ">
        <w:r>
          <w:rPr>
            <w:noProof/>
          </w:rPr>
          <w:t>3</w:t>
        </w:r>
      </w:fldSimple>
      <w:bookmarkEnd w:id="6"/>
      <w:r>
        <w:t>: WeWALK Smart Cane 2 Pricing</w:t>
      </w:r>
      <w:r w:rsidR="003C01F7">
        <w:t xml:space="preserve"> </w:t>
      </w:r>
    </w:p>
    <w:p w14:paraId="5FE1855C" w14:textId="5318B6EA" w:rsidR="00E11C6A" w:rsidRDefault="00FF3F77" w:rsidP="001B6542">
      <w:r>
        <w:t xml:space="preserve">As seen in </w:t>
      </w:r>
      <w:r>
        <w:fldChar w:fldCharType="begin"/>
      </w:r>
      <w:r>
        <w:instrText xml:space="preserve"> REF _Ref238983290 \h </w:instrText>
      </w:r>
      <w:r>
        <w:fldChar w:fldCharType="separate"/>
      </w:r>
      <w:r>
        <w:t xml:space="preserve">Figure </w:t>
      </w:r>
      <w:r>
        <w:rPr>
          <w:noProof/>
        </w:rPr>
        <w:t>3</w:t>
      </w:r>
      <w:r>
        <w:fldChar w:fldCharType="end"/>
      </w:r>
      <w:r>
        <w:t>,</w:t>
      </w:r>
      <w:r w:rsidR="00F874F3">
        <w:t xml:space="preserve"> the pricing begins at $800</w:t>
      </w:r>
      <w:r w:rsidR="00712B83">
        <w:t>, but can cost up to $2,500 for the version with all offered features. Additionally, WeWalk’s design does not use a camera or AI</w:t>
      </w:r>
      <w:r w:rsidR="00B7363B">
        <w:t xml:space="preserve"> to aid with obstacle detection. WeWALK states, “</w:t>
      </w:r>
      <w:r w:rsidR="00473010" w:rsidRPr="00473010">
        <w:t>The smart cane is equipped with an ultrasonic sensor that detects obstacles at chest and head height—areas that a regular cane can’t reach.</w:t>
      </w:r>
      <w:r w:rsidR="00B7363B">
        <w:t>”</w:t>
      </w:r>
      <w:r>
        <w:t xml:space="preserve"> </w:t>
      </w:r>
      <w:sdt>
        <w:sdtPr>
          <w:id w:val="-1184902630"/>
          <w:citation/>
        </w:sdtPr>
        <w:sdtEndPr/>
        <w:sdtContent>
          <w:r w:rsidR="00F874F3">
            <w:fldChar w:fldCharType="begin"/>
          </w:r>
          <w:r w:rsidR="00F874F3">
            <w:instrText xml:space="preserve"> CITATION Det \l 1033 </w:instrText>
          </w:r>
          <w:r w:rsidR="00F874F3">
            <w:fldChar w:fldCharType="separate"/>
          </w:r>
          <w:r>
            <w:rPr>
              <w:noProof/>
            </w:rPr>
            <w:t>[3]</w:t>
          </w:r>
          <w:r w:rsidR="00F874F3">
            <w:fldChar w:fldCharType="end"/>
          </w:r>
        </w:sdtContent>
      </w:sdt>
      <w:r w:rsidR="00473010">
        <w:t xml:space="preserve"> Our proposed design includes this feature with the ultrasonic sensor, but also includes a camera which can detect stairs and curbs</w:t>
      </w:r>
      <w:r w:rsidR="005D1508">
        <w:t xml:space="preserve"> which </w:t>
      </w:r>
      <w:r w:rsidR="004078DB">
        <w:t>is a hazard category WeWALK does not claim to detect.</w:t>
      </w:r>
      <w:r w:rsidR="003A73BB">
        <w:t xml:space="preserve"> </w:t>
      </w:r>
    </w:p>
    <w:p w14:paraId="62BF5458" w14:textId="1790F902" w:rsidR="003A73BB" w:rsidRDefault="003A73BB" w:rsidP="001B6542">
      <w:r>
        <w:t>By having a camera, our design is more</w:t>
      </w:r>
      <w:r w:rsidR="00F17C99">
        <w:t xml:space="preserve"> adaptable to changing infrastructure</w:t>
      </w:r>
      <w:r w:rsidR="00D75A5E">
        <w:t xml:space="preserve"> since additional hazard detection categories can be added to the</w:t>
      </w:r>
      <w:r w:rsidR="007F0563">
        <w:t xml:space="preserve"> camera AI model with an online software update. An ultrasonic sensor alone doesn’t provide enough information to </w:t>
      </w:r>
      <w:r w:rsidR="00AD05F3">
        <w:t>meaningfully be able to detect different types of hazards</w:t>
      </w:r>
      <w:r w:rsidR="0052664F">
        <w:t xml:space="preserve">. This means that our design will be able to be substantially upgraded </w:t>
      </w:r>
      <w:r w:rsidR="00F47895">
        <w:t>in the future, whereas the other designs on the market do not have this capability.</w:t>
      </w:r>
    </w:p>
    <w:p w14:paraId="243A033E" w14:textId="77777777" w:rsidR="00670119" w:rsidRDefault="00670119" w:rsidP="001B6542"/>
    <w:p w14:paraId="2DC7B989" w14:textId="77777777" w:rsidR="00670119" w:rsidRDefault="00670119" w:rsidP="001B6542"/>
    <w:p w14:paraId="79BAF3F8" w14:textId="77777777" w:rsidR="00670119" w:rsidRPr="001B6542" w:rsidRDefault="00670119" w:rsidP="001B6542"/>
    <w:p w14:paraId="19A6AF27" w14:textId="78B7F775" w:rsidR="00670119" w:rsidRDefault="00BD0FCE" w:rsidP="00E51ADF">
      <w:pPr>
        <w:pStyle w:val="Heading1"/>
      </w:pPr>
      <w:bookmarkStart w:id="7" w:name="_Toc239020893"/>
      <w:r>
        <w:lastRenderedPageBreak/>
        <w:t>Needs Statement</w:t>
      </w:r>
      <w:bookmarkEnd w:id="7"/>
    </w:p>
    <w:p w14:paraId="28748587" w14:textId="75B56149" w:rsidR="00AF2C91" w:rsidRDefault="00AF2C91" w:rsidP="00670119">
      <w:r>
        <w:t xml:space="preserve">Our project aims to </w:t>
      </w:r>
      <w:r w:rsidR="00FD73BE">
        <w:t xml:space="preserve">assist blind people </w:t>
      </w:r>
      <w:r w:rsidR="00113901">
        <w:t xml:space="preserve">with avoiding </w:t>
      </w:r>
      <w:r w:rsidR="00D43D6C">
        <w:t xml:space="preserve">obstacles and </w:t>
      </w:r>
      <w:r w:rsidR="00113901">
        <w:t>hazards</w:t>
      </w:r>
      <w:r w:rsidR="00D43D6C">
        <w:t xml:space="preserve"> which will reduce </w:t>
      </w:r>
      <w:r w:rsidR="00363463">
        <w:t>the occurrence of injuries.</w:t>
      </w:r>
    </w:p>
    <w:p w14:paraId="7AB8BC5A" w14:textId="15F4E214" w:rsidR="00BD0FCE" w:rsidRDefault="00BD0FCE" w:rsidP="00BD0FCE">
      <w:pPr>
        <w:pStyle w:val="Heading1"/>
      </w:pPr>
      <w:bookmarkStart w:id="8" w:name="_Toc239020894"/>
      <w:r>
        <w:t>Implications of Project Success</w:t>
      </w:r>
      <w:bookmarkEnd w:id="8"/>
    </w:p>
    <w:p w14:paraId="36DC4B61" w14:textId="2275FCB2" w:rsidR="002A6365" w:rsidRPr="002A6365" w:rsidRDefault="00707809" w:rsidP="002A6365">
      <w:r>
        <w:t xml:space="preserve">If our project is successfully developed and adopted, the most immediate impact would be a reduction in fall-related injuries among visually impaired individuals. </w:t>
      </w:r>
      <w:r w:rsidR="005C434E">
        <w:t xml:space="preserve">A smart cane that </w:t>
      </w:r>
      <w:r w:rsidR="00A54EEE">
        <w:t>can detect</w:t>
      </w:r>
      <w:r w:rsidR="005C434E">
        <w:t xml:space="preserve"> overhead and ground level hazards could meaningfully reduce the number of </w:t>
      </w:r>
      <w:r w:rsidR="00D93D8A">
        <w:t>falls and injuries</w:t>
      </w:r>
      <w:r w:rsidR="00A54EEE">
        <w:t>. This could improve both safety and independence for low-vision and blind users.</w:t>
      </w:r>
    </w:p>
    <w:p w14:paraId="2DC9838C" w14:textId="5F60CD4B" w:rsidR="00515CC8" w:rsidRDefault="00515CC8" w:rsidP="002A6365">
      <w:r>
        <w:t>Beyond our original goal of individual safety, a successful SafeStep addresses several UN Sustainable Development Goals (SDGs)</w:t>
      </w:r>
      <w:r w:rsidR="007C4D92">
        <w:t xml:space="preserve"> </w:t>
      </w:r>
      <w:sdt>
        <w:sdtPr>
          <w:id w:val="-1030025713"/>
          <w:citation/>
        </w:sdtPr>
        <w:sdtEndPr/>
        <w:sdtContent>
          <w:r w:rsidR="007C4D92">
            <w:fldChar w:fldCharType="begin"/>
          </w:r>
          <w:r w:rsidR="007C4D92">
            <w:instrText xml:space="preserve"> CITATION Uni15 \l 1033 </w:instrText>
          </w:r>
          <w:r w:rsidR="007C4D92">
            <w:fldChar w:fldCharType="separate"/>
          </w:r>
          <w:r>
            <w:rPr>
              <w:noProof/>
            </w:rPr>
            <w:t>[4]</w:t>
          </w:r>
          <w:r w:rsidR="007C4D92">
            <w:fldChar w:fldCharType="end"/>
          </w:r>
        </w:sdtContent>
      </w:sdt>
      <w:r w:rsidR="0062604F">
        <w:t>.</w:t>
      </w:r>
      <w:r>
        <w:t xml:space="preserve"> </w:t>
      </w:r>
    </w:p>
    <w:p w14:paraId="5BB60589" w14:textId="49F064C2" w:rsidR="001010FD" w:rsidRPr="00D66183" w:rsidRDefault="00941C82" w:rsidP="00941C82">
      <w:pPr>
        <w:pStyle w:val="ListParagraph"/>
        <w:numPr>
          <w:ilvl w:val="0"/>
          <w:numId w:val="2"/>
        </w:numPr>
        <w:rPr>
          <w:b/>
        </w:rPr>
      </w:pPr>
      <w:r w:rsidRPr="00D66183">
        <w:rPr>
          <w:b/>
        </w:rPr>
        <w:t>SDG 3 – Good Health and Well-Being</w:t>
      </w:r>
      <w:r w:rsidR="00D66183" w:rsidRPr="00D66183">
        <w:rPr>
          <w:b/>
          <w:bCs/>
        </w:rPr>
        <w:t>:</w:t>
      </w:r>
      <w:r w:rsidRPr="00D66183">
        <w:rPr>
          <w:b/>
        </w:rPr>
        <w:t xml:space="preserve"> </w:t>
      </w:r>
      <w:r w:rsidR="008729D8">
        <w:t xml:space="preserve">SafeStep directly contributes to </w:t>
      </w:r>
      <w:r w:rsidR="00EA7350">
        <w:t>better health outcomes for a vulnerable population by reducing fall-related injuries.</w:t>
      </w:r>
      <w:r w:rsidR="008729D8">
        <w:t xml:space="preserve"> </w:t>
      </w:r>
    </w:p>
    <w:p w14:paraId="62DD169E" w14:textId="72479F61" w:rsidR="00D66183" w:rsidRPr="00D66183" w:rsidRDefault="00D66183" w:rsidP="00941C82">
      <w:pPr>
        <w:pStyle w:val="ListParagraph"/>
        <w:numPr>
          <w:ilvl w:val="0"/>
          <w:numId w:val="2"/>
        </w:numPr>
        <w:rPr>
          <w:b/>
          <w:bCs/>
        </w:rPr>
      </w:pPr>
      <w:r w:rsidRPr="00D66183">
        <w:rPr>
          <w:b/>
          <w:bCs/>
        </w:rPr>
        <w:t xml:space="preserve">SDG 9 – Industry, Innovation, and Infrastructure: </w:t>
      </w:r>
      <w:r w:rsidR="000174F3">
        <w:t xml:space="preserve">Our </w:t>
      </w:r>
      <w:r w:rsidR="00C43A19">
        <w:t xml:space="preserve">camera-based AI approach creates </w:t>
      </w:r>
      <w:r w:rsidR="00C033A8">
        <w:t xml:space="preserve">an innovative platform that can be updated via software as infrastructure changes. </w:t>
      </w:r>
      <w:r w:rsidR="008E5B86">
        <w:t>Compared to hardware exclusive solutions, new hazards</w:t>
      </w:r>
      <w:r w:rsidR="00371280">
        <w:t xml:space="preserve"> and improved detection models can be pushed to existing devices, meaning </w:t>
      </w:r>
      <w:r w:rsidR="00BB5E7A">
        <w:t xml:space="preserve">the cane grows </w:t>
      </w:r>
      <w:r w:rsidR="0035798D">
        <w:t xml:space="preserve">more capable throughout </w:t>
      </w:r>
      <w:r w:rsidR="001C3FD9">
        <w:t>its</w:t>
      </w:r>
      <w:r w:rsidR="0035798D">
        <w:t xml:space="preserve"> lifetime. </w:t>
      </w:r>
    </w:p>
    <w:p w14:paraId="13CCB3CE" w14:textId="402D8E20" w:rsidR="00071BFC" w:rsidRPr="00D66183" w:rsidRDefault="00071BFC" w:rsidP="00941C82">
      <w:pPr>
        <w:pStyle w:val="ListParagraph"/>
        <w:numPr>
          <w:ilvl w:val="0"/>
          <w:numId w:val="2"/>
        </w:numPr>
        <w:rPr>
          <w:b/>
        </w:rPr>
      </w:pPr>
      <w:r w:rsidRPr="00D66183">
        <w:rPr>
          <w:b/>
          <w:bCs/>
        </w:rPr>
        <w:t>SDG 10 – Reduced Inequalities</w:t>
      </w:r>
      <w:r w:rsidR="00D66183" w:rsidRPr="00D66183">
        <w:rPr>
          <w:b/>
          <w:bCs/>
        </w:rPr>
        <w:t xml:space="preserve">: </w:t>
      </w:r>
      <w:r w:rsidRPr="00D66183">
        <w:rPr>
          <w:b/>
          <w:bCs/>
        </w:rPr>
        <w:t xml:space="preserve"> </w:t>
      </w:r>
      <w:r w:rsidR="000516BF">
        <w:t>Blindness disproportionately affects</w:t>
      </w:r>
      <w:r w:rsidR="002954DE">
        <w:t xml:space="preserve"> those on a fixed income such as the elderly</w:t>
      </w:r>
      <w:r w:rsidR="00B6575C">
        <w:t xml:space="preserve">, who may </w:t>
      </w:r>
      <w:r w:rsidR="000443B4">
        <w:t xml:space="preserve">not be able to </w:t>
      </w:r>
      <w:r w:rsidR="008B7FDA">
        <w:t>able to afford assistive tools</w:t>
      </w:r>
      <w:r w:rsidR="000516BF">
        <w:t xml:space="preserve">. SafeStep’s design prioritizes affordability compared to existing solutions, making </w:t>
      </w:r>
      <w:r w:rsidR="005C20B4">
        <w:t>assistive technology more affordable and accessible.</w:t>
      </w:r>
    </w:p>
    <w:p w14:paraId="790697C0" w14:textId="0222FDE2" w:rsidR="00A54EEE" w:rsidRPr="00480059" w:rsidRDefault="00F302EF" w:rsidP="002A6365">
      <w:pPr>
        <w:pStyle w:val="ListParagraph"/>
        <w:numPr>
          <w:ilvl w:val="0"/>
          <w:numId w:val="2"/>
        </w:numPr>
        <w:rPr>
          <w:b/>
        </w:rPr>
      </w:pPr>
      <w:r w:rsidRPr="00F302EF">
        <w:rPr>
          <w:b/>
          <w:bCs/>
        </w:rPr>
        <w:t>SDG 11 – Sustainable Cities and Communities:</w:t>
      </w:r>
      <w:r w:rsidR="005C20B4">
        <w:rPr>
          <w:b/>
          <w:bCs/>
        </w:rPr>
        <w:t xml:space="preserve"> </w:t>
      </w:r>
      <w:r w:rsidR="005428EE">
        <w:t xml:space="preserve">Safer navigation for visually impaired individuals contributes to a more inclusive and safe </w:t>
      </w:r>
      <w:r w:rsidR="003B4534">
        <w:t>urban environment.</w:t>
      </w:r>
    </w:p>
    <w:p w14:paraId="4BC1E072" w14:textId="77777777" w:rsidR="00480059" w:rsidRDefault="00480059" w:rsidP="00480059">
      <w:pPr>
        <w:rPr>
          <w:b/>
        </w:rPr>
      </w:pPr>
    </w:p>
    <w:p w14:paraId="493E34D8" w14:textId="77777777" w:rsidR="00480059" w:rsidRDefault="00480059" w:rsidP="00480059">
      <w:pPr>
        <w:rPr>
          <w:b/>
        </w:rPr>
      </w:pPr>
    </w:p>
    <w:p w14:paraId="6CFF3E20" w14:textId="77777777" w:rsidR="00480059" w:rsidRDefault="00480059" w:rsidP="00480059">
      <w:pPr>
        <w:rPr>
          <w:b/>
        </w:rPr>
      </w:pPr>
    </w:p>
    <w:p w14:paraId="592A23D6" w14:textId="77777777" w:rsidR="00480059" w:rsidRPr="00480059" w:rsidRDefault="00480059" w:rsidP="00480059">
      <w:pPr>
        <w:rPr>
          <w:b/>
        </w:rPr>
      </w:pPr>
    </w:p>
    <w:p w14:paraId="4F1F9F69" w14:textId="77777777" w:rsidR="004E60AA" w:rsidRDefault="00DF297C" w:rsidP="00480059">
      <w:pPr>
        <w:pStyle w:val="Heading1"/>
        <w:rPr>
          <w:noProof/>
        </w:rPr>
      </w:pPr>
      <w:bookmarkStart w:id="9" w:name="_Toc239020895"/>
      <w:r>
        <w:lastRenderedPageBreak/>
        <w:t>Citations</w:t>
      </w:r>
      <w:bookmarkEnd w:id="9"/>
      <w:r w:rsidR="005B2AAD">
        <w:fldChar w:fldCharType="begin"/>
      </w:r>
      <w:r w:rsidR="005B2AAD">
        <w:instrText xml:space="preserve"> BIBLIOGRAPHY  \l 1033 </w:instrText>
      </w:r>
      <w:r w:rsidR="005B2AAD">
        <w:fldChar w:fldCharType="separate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015"/>
      </w:tblGrid>
      <w:tr w:rsidR="004E60AA" w14:paraId="5E04F02F" w14:textId="77777777">
        <w:trPr>
          <w:divId w:val="2043432989"/>
          <w:tblCellSpacing w:w="15" w:type="dxa"/>
        </w:trPr>
        <w:tc>
          <w:tcPr>
            <w:tcW w:w="50" w:type="pct"/>
            <w:hideMark/>
          </w:tcPr>
          <w:p w14:paraId="758D62BC" w14:textId="66791B77" w:rsidR="004E60AA" w:rsidRDefault="004E60AA">
            <w:pPr>
              <w:pStyle w:val="Bibliography"/>
              <w:rPr>
                <w:noProof/>
                <w:kern w:val="0"/>
                <w14:ligatures w14:val="none"/>
              </w:rPr>
            </w:pPr>
            <w:r>
              <w:rPr>
                <w:noProof/>
              </w:rPr>
              <w:t xml:space="preserve">[1] </w:t>
            </w:r>
          </w:p>
        </w:tc>
        <w:tc>
          <w:tcPr>
            <w:tcW w:w="0" w:type="auto"/>
            <w:hideMark/>
          </w:tcPr>
          <w:p w14:paraId="4C11B2CB" w14:textId="77777777" w:rsidR="004E60AA" w:rsidRDefault="004E60AA">
            <w:pPr>
              <w:pStyle w:val="Bibliography"/>
              <w:rPr>
                <w:noProof/>
              </w:rPr>
            </w:pPr>
            <w:r>
              <w:rPr>
                <w:noProof/>
              </w:rPr>
              <w:t xml:space="preserve">R. Bourne, J. Steinmetz, S. Flaxman and et al., "Trends in prevalence of blindness and distance and near vision impairment over 30 years: an analysis for the Global Burden of Disease Study," </w:t>
            </w:r>
            <w:r>
              <w:rPr>
                <w:i/>
                <w:iCs/>
                <w:noProof/>
              </w:rPr>
              <w:t xml:space="preserve">The Lancet Global Health, </w:t>
            </w:r>
            <w:r>
              <w:rPr>
                <w:noProof/>
              </w:rPr>
              <w:t xml:space="preserve">2020. </w:t>
            </w:r>
          </w:p>
        </w:tc>
      </w:tr>
      <w:tr w:rsidR="004E60AA" w14:paraId="22779B3B" w14:textId="77777777">
        <w:trPr>
          <w:divId w:val="2043432989"/>
          <w:tblCellSpacing w:w="15" w:type="dxa"/>
        </w:trPr>
        <w:tc>
          <w:tcPr>
            <w:tcW w:w="50" w:type="pct"/>
            <w:hideMark/>
          </w:tcPr>
          <w:p w14:paraId="7E7F1E20" w14:textId="77777777" w:rsidR="004E60AA" w:rsidRDefault="004E60AA">
            <w:pPr>
              <w:pStyle w:val="Bibliography"/>
              <w:rPr>
                <w:noProof/>
              </w:rPr>
            </w:pPr>
            <w:r>
              <w:rPr>
                <w:noProof/>
              </w:rPr>
              <w:t xml:space="preserve">[2] </w:t>
            </w:r>
          </w:p>
        </w:tc>
        <w:tc>
          <w:tcPr>
            <w:tcW w:w="0" w:type="auto"/>
            <w:hideMark/>
          </w:tcPr>
          <w:p w14:paraId="6DB3B6C5" w14:textId="77777777" w:rsidR="004E60AA" w:rsidRDefault="004E60AA">
            <w:pPr>
              <w:pStyle w:val="Bibliography"/>
              <w:rPr>
                <w:noProof/>
              </w:rPr>
            </w:pPr>
            <w:r>
              <w:rPr>
                <w:noProof/>
              </w:rPr>
              <w:t xml:space="preserve">C. Brundle and et al., "The causes of falls: views of older people with visual impairment," </w:t>
            </w:r>
            <w:r>
              <w:rPr>
                <w:i/>
                <w:iCs/>
                <w:noProof/>
              </w:rPr>
              <w:t xml:space="preserve">Health Expect, </w:t>
            </w:r>
            <w:r>
              <w:rPr>
                <w:noProof/>
              </w:rPr>
              <w:t xml:space="preserve">2015. </w:t>
            </w:r>
          </w:p>
        </w:tc>
      </w:tr>
      <w:tr w:rsidR="004E60AA" w14:paraId="281F093A" w14:textId="77777777">
        <w:trPr>
          <w:divId w:val="2043432989"/>
          <w:tblCellSpacing w:w="15" w:type="dxa"/>
        </w:trPr>
        <w:tc>
          <w:tcPr>
            <w:tcW w:w="50" w:type="pct"/>
            <w:hideMark/>
          </w:tcPr>
          <w:p w14:paraId="618ADD0E" w14:textId="77777777" w:rsidR="004E60AA" w:rsidRDefault="004E60AA">
            <w:pPr>
              <w:pStyle w:val="Bibliography"/>
              <w:rPr>
                <w:noProof/>
              </w:rPr>
            </w:pPr>
            <w:r>
              <w:rPr>
                <w:noProof/>
              </w:rPr>
              <w:t xml:space="preserve">[3] </w:t>
            </w:r>
          </w:p>
        </w:tc>
        <w:tc>
          <w:tcPr>
            <w:tcW w:w="0" w:type="auto"/>
            <w:hideMark/>
          </w:tcPr>
          <w:p w14:paraId="274F4BE3" w14:textId="77777777" w:rsidR="004E60AA" w:rsidRDefault="004E60AA">
            <w:pPr>
              <w:pStyle w:val="Bibliography"/>
              <w:rPr>
                <w:noProof/>
              </w:rPr>
            </w:pPr>
            <w:r>
              <w:rPr>
                <w:noProof/>
              </w:rPr>
              <w:t>"Detailed Introduction to the Smart White Cane WeWALK," [Online]. Available: https://wewalk.io/en/detailed-introduction-to-the-smart-white-cane-wewalk/.</w:t>
            </w:r>
          </w:p>
        </w:tc>
      </w:tr>
      <w:tr w:rsidR="004E60AA" w14:paraId="4913C7C8" w14:textId="77777777">
        <w:trPr>
          <w:divId w:val="2043432989"/>
          <w:tblCellSpacing w:w="15" w:type="dxa"/>
        </w:trPr>
        <w:tc>
          <w:tcPr>
            <w:tcW w:w="50" w:type="pct"/>
            <w:hideMark/>
          </w:tcPr>
          <w:p w14:paraId="49B1ADAB" w14:textId="77777777" w:rsidR="004E60AA" w:rsidRDefault="004E60AA">
            <w:pPr>
              <w:pStyle w:val="Bibliography"/>
              <w:rPr>
                <w:noProof/>
              </w:rPr>
            </w:pPr>
            <w:r>
              <w:rPr>
                <w:noProof/>
              </w:rPr>
              <w:t xml:space="preserve">[4] </w:t>
            </w:r>
          </w:p>
        </w:tc>
        <w:tc>
          <w:tcPr>
            <w:tcW w:w="0" w:type="auto"/>
            <w:hideMark/>
          </w:tcPr>
          <w:p w14:paraId="40604A6B" w14:textId="77777777" w:rsidR="004E60AA" w:rsidRDefault="004E60AA">
            <w:pPr>
              <w:pStyle w:val="Bibliography"/>
              <w:rPr>
                <w:noProof/>
              </w:rPr>
            </w:pPr>
            <w:r>
              <w:rPr>
                <w:noProof/>
              </w:rPr>
              <w:t>United Nations, "The 17 Goals," 2015. [Online]. Available: https://sdgs.un.org/goals.</w:t>
            </w:r>
          </w:p>
        </w:tc>
      </w:tr>
    </w:tbl>
    <w:p w14:paraId="16E4267D" w14:textId="77777777" w:rsidR="004E60AA" w:rsidRDefault="004E60AA">
      <w:pPr>
        <w:divId w:val="2043432989"/>
        <w:rPr>
          <w:rFonts w:eastAsia="Times New Roman"/>
          <w:noProof/>
        </w:rPr>
      </w:pPr>
    </w:p>
    <w:p w14:paraId="5EF9BF1D" w14:textId="4B127731" w:rsidR="005B2AAD" w:rsidRPr="005B2AAD" w:rsidRDefault="005B2AAD" w:rsidP="005B2AAD">
      <w:r>
        <w:fldChar w:fldCharType="end"/>
      </w:r>
    </w:p>
    <w:sectPr w:rsidR="005B2AAD" w:rsidRPr="005B2AA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3AEA8" w14:textId="77777777" w:rsidR="009F6CD7" w:rsidRDefault="009F6CD7" w:rsidP="0060383F">
      <w:pPr>
        <w:spacing w:after="0" w:line="240" w:lineRule="auto"/>
      </w:pPr>
      <w:r>
        <w:separator/>
      </w:r>
    </w:p>
  </w:endnote>
  <w:endnote w:type="continuationSeparator" w:id="0">
    <w:p w14:paraId="46C73D73" w14:textId="77777777" w:rsidR="009F6CD7" w:rsidRDefault="009F6CD7" w:rsidP="0060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7585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25FEF8" w14:textId="1BE6617E" w:rsidR="0060383F" w:rsidRDefault="006038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F30794" w14:textId="77777777" w:rsidR="0060383F" w:rsidRDefault="00603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BF108" w14:textId="77777777" w:rsidR="009F6CD7" w:rsidRDefault="009F6CD7" w:rsidP="0060383F">
      <w:pPr>
        <w:spacing w:after="0" w:line="240" w:lineRule="auto"/>
      </w:pPr>
      <w:r>
        <w:separator/>
      </w:r>
    </w:p>
  </w:footnote>
  <w:footnote w:type="continuationSeparator" w:id="0">
    <w:p w14:paraId="577889AE" w14:textId="77777777" w:rsidR="009F6CD7" w:rsidRDefault="009F6CD7" w:rsidP="00603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638A0"/>
    <w:multiLevelType w:val="hybridMultilevel"/>
    <w:tmpl w:val="0332E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D05BC"/>
    <w:multiLevelType w:val="hybridMultilevel"/>
    <w:tmpl w:val="3AD69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974017">
    <w:abstractNumId w:val="0"/>
  </w:num>
  <w:num w:numId="2" w16cid:durableId="1500779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3A"/>
    <w:rsid w:val="000026AC"/>
    <w:rsid w:val="00005431"/>
    <w:rsid w:val="00012667"/>
    <w:rsid w:val="000174F3"/>
    <w:rsid w:val="00023D94"/>
    <w:rsid w:val="000443B4"/>
    <w:rsid w:val="000516BF"/>
    <w:rsid w:val="00057AA6"/>
    <w:rsid w:val="00057CBF"/>
    <w:rsid w:val="0006269F"/>
    <w:rsid w:val="00071BFC"/>
    <w:rsid w:val="00080227"/>
    <w:rsid w:val="000814EA"/>
    <w:rsid w:val="00083070"/>
    <w:rsid w:val="000934E6"/>
    <w:rsid w:val="00096A47"/>
    <w:rsid w:val="000C6AEA"/>
    <w:rsid w:val="000D233B"/>
    <w:rsid w:val="001010FD"/>
    <w:rsid w:val="00113901"/>
    <w:rsid w:val="0011563D"/>
    <w:rsid w:val="0012067E"/>
    <w:rsid w:val="00135E95"/>
    <w:rsid w:val="0014184C"/>
    <w:rsid w:val="001802E7"/>
    <w:rsid w:val="00180393"/>
    <w:rsid w:val="0018212D"/>
    <w:rsid w:val="00184ABD"/>
    <w:rsid w:val="00194E70"/>
    <w:rsid w:val="00195301"/>
    <w:rsid w:val="001963E6"/>
    <w:rsid w:val="001B6542"/>
    <w:rsid w:val="001C3FD9"/>
    <w:rsid w:val="001C412B"/>
    <w:rsid w:val="001D05AA"/>
    <w:rsid w:val="001E1F2D"/>
    <w:rsid w:val="00200DF1"/>
    <w:rsid w:val="00204B08"/>
    <w:rsid w:val="0020792D"/>
    <w:rsid w:val="00212474"/>
    <w:rsid w:val="00214380"/>
    <w:rsid w:val="0022486F"/>
    <w:rsid w:val="002270C3"/>
    <w:rsid w:val="00234FA2"/>
    <w:rsid w:val="00240F25"/>
    <w:rsid w:val="0026152D"/>
    <w:rsid w:val="0026701B"/>
    <w:rsid w:val="00281387"/>
    <w:rsid w:val="002954DE"/>
    <w:rsid w:val="002A6365"/>
    <w:rsid w:val="002C3511"/>
    <w:rsid w:val="002C351E"/>
    <w:rsid w:val="002C3857"/>
    <w:rsid w:val="002D04E3"/>
    <w:rsid w:val="002D127A"/>
    <w:rsid w:val="002D2DFA"/>
    <w:rsid w:val="002E4938"/>
    <w:rsid w:val="002E67CB"/>
    <w:rsid w:val="002F2326"/>
    <w:rsid w:val="00300C6A"/>
    <w:rsid w:val="00306E44"/>
    <w:rsid w:val="00330C8C"/>
    <w:rsid w:val="00336926"/>
    <w:rsid w:val="0035798D"/>
    <w:rsid w:val="00363463"/>
    <w:rsid w:val="00371280"/>
    <w:rsid w:val="00396CC0"/>
    <w:rsid w:val="003A73BB"/>
    <w:rsid w:val="003B10A7"/>
    <w:rsid w:val="003B192D"/>
    <w:rsid w:val="003B4534"/>
    <w:rsid w:val="003B7B95"/>
    <w:rsid w:val="003C01F7"/>
    <w:rsid w:val="003C0C05"/>
    <w:rsid w:val="003D6C83"/>
    <w:rsid w:val="003F1E8E"/>
    <w:rsid w:val="00401241"/>
    <w:rsid w:val="00404CFD"/>
    <w:rsid w:val="004078DB"/>
    <w:rsid w:val="004150BC"/>
    <w:rsid w:val="00417F0D"/>
    <w:rsid w:val="004241FC"/>
    <w:rsid w:val="00473010"/>
    <w:rsid w:val="004771CA"/>
    <w:rsid w:val="00480059"/>
    <w:rsid w:val="0048137D"/>
    <w:rsid w:val="0049006B"/>
    <w:rsid w:val="00497F5D"/>
    <w:rsid w:val="004A64B5"/>
    <w:rsid w:val="004C5910"/>
    <w:rsid w:val="004E60AA"/>
    <w:rsid w:val="004F23A5"/>
    <w:rsid w:val="004F5183"/>
    <w:rsid w:val="004F764D"/>
    <w:rsid w:val="004F7AA2"/>
    <w:rsid w:val="00515CC8"/>
    <w:rsid w:val="0052664F"/>
    <w:rsid w:val="005368AA"/>
    <w:rsid w:val="005428EE"/>
    <w:rsid w:val="00565FBB"/>
    <w:rsid w:val="00571BD7"/>
    <w:rsid w:val="005A19E0"/>
    <w:rsid w:val="005B2AAD"/>
    <w:rsid w:val="005C20B4"/>
    <w:rsid w:val="005C434E"/>
    <w:rsid w:val="005D1508"/>
    <w:rsid w:val="005D3705"/>
    <w:rsid w:val="005F363F"/>
    <w:rsid w:val="005F5051"/>
    <w:rsid w:val="0060383F"/>
    <w:rsid w:val="0062604F"/>
    <w:rsid w:val="00632ADB"/>
    <w:rsid w:val="00670119"/>
    <w:rsid w:val="006906E9"/>
    <w:rsid w:val="006946E4"/>
    <w:rsid w:val="006A41F5"/>
    <w:rsid w:val="006B1BCC"/>
    <w:rsid w:val="006B43FE"/>
    <w:rsid w:val="006C3970"/>
    <w:rsid w:val="007049CD"/>
    <w:rsid w:val="00707809"/>
    <w:rsid w:val="00711B6A"/>
    <w:rsid w:val="00712B83"/>
    <w:rsid w:val="00732FE0"/>
    <w:rsid w:val="00741B9C"/>
    <w:rsid w:val="00747513"/>
    <w:rsid w:val="007523A3"/>
    <w:rsid w:val="00755C62"/>
    <w:rsid w:val="00757945"/>
    <w:rsid w:val="00757C00"/>
    <w:rsid w:val="0076325A"/>
    <w:rsid w:val="00764670"/>
    <w:rsid w:val="007710A8"/>
    <w:rsid w:val="007805FA"/>
    <w:rsid w:val="0079173E"/>
    <w:rsid w:val="00794F81"/>
    <w:rsid w:val="00796D68"/>
    <w:rsid w:val="007A3FE7"/>
    <w:rsid w:val="007A41E6"/>
    <w:rsid w:val="007A761F"/>
    <w:rsid w:val="007C4D92"/>
    <w:rsid w:val="007D2E85"/>
    <w:rsid w:val="007D7EFC"/>
    <w:rsid w:val="007F0563"/>
    <w:rsid w:val="007F78EF"/>
    <w:rsid w:val="00805D7F"/>
    <w:rsid w:val="00810B05"/>
    <w:rsid w:val="00821906"/>
    <w:rsid w:val="008221AE"/>
    <w:rsid w:val="008332C2"/>
    <w:rsid w:val="00840A31"/>
    <w:rsid w:val="00846C4D"/>
    <w:rsid w:val="00855B94"/>
    <w:rsid w:val="008633FB"/>
    <w:rsid w:val="008729D8"/>
    <w:rsid w:val="00893D38"/>
    <w:rsid w:val="008B7FDA"/>
    <w:rsid w:val="008C4967"/>
    <w:rsid w:val="008D4B54"/>
    <w:rsid w:val="008D7A75"/>
    <w:rsid w:val="008E2DFB"/>
    <w:rsid w:val="008E3923"/>
    <w:rsid w:val="008E5B86"/>
    <w:rsid w:val="008F1921"/>
    <w:rsid w:val="008F671C"/>
    <w:rsid w:val="0090241E"/>
    <w:rsid w:val="00902DBE"/>
    <w:rsid w:val="0091168E"/>
    <w:rsid w:val="009156E1"/>
    <w:rsid w:val="00941C82"/>
    <w:rsid w:val="00942469"/>
    <w:rsid w:val="00953B13"/>
    <w:rsid w:val="0097296B"/>
    <w:rsid w:val="00972B5E"/>
    <w:rsid w:val="0098371E"/>
    <w:rsid w:val="00990615"/>
    <w:rsid w:val="009A3E4B"/>
    <w:rsid w:val="009A4BDD"/>
    <w:rsid w:val="009D61B4"/>
    <w:rsid w:val="009E0C24"/>
    <w:rsid w:val="009E4E5C"/>
    <w:rsid w:val="009F6CD7"/>
    <w:rsid w:val="00A05EBA"/>
    <w:rsid w:val="00A0606E"/>
    <w:rsid w:val="00A15F0C"/>
    <w:rsid w:val="00A22284"/>
    <w:rsid w:val="00A54AF2"/>
    <w:rsid w:val="00A54EEE"/>
    <w:rsid w:val="00A557EC"/>
    <w:rsid w:val="00A63324"/>
    <w:rsid w:val="00A81EDE"/>
    <w:rsid w:val="00A95B96"/>
    <w:rsid w:val="00A97EB6"/>
    <w:rsid w:val="00AA2E60"/>
    <w:rsid w:val="00AA54C4"/>
    <w:rsid w:val="00AD05F3"/>
    <w:rsid w:val="00AD5F2B"/>
    <w:rsid w:val="00AF2C91"/>
    <w:rsid w:val="00B0581F"/>
    <w:rsid w:val="00B0742C"/>
    <w:rsid w:val="00B12C9A"/>
    <w:rsid w:val="00B174E2"/>
    <w:rsid w:val="00B17884"/>
    <w:rsid w:val="00B33836"/>
    <w:rsid w:val="00B40A2A"/>
    <w:rsid w:val="00B6575C"/>
    <w:rsid w:val="00B7363B"/>
    <w:rsid w:val="00B84D44"/>
    <w:rsid w:val="00BB5E7A"/>
    <w:rsid w:val="00BD0448"/>
    <w:rsid w:val="00BD0FCE"/>
    <w:rsid w:val="00BF7639"/>
    <w:rsid w:val="00C033A8"/>
    <w:rsid w:val="00C43A19"/>
    <w:rsid w:val="00C611F4"/>
    <w:rsid w:val="00C713C0"/>
    <w:rsid w:val="00C7380A"/>
    <w:rsid w:val="00CB4098"/>
    <w:rsid w:val="00CD318A"/>
    <w:rsid w:val="00CD6E3A"/>
    <w:rsid w:val="00CD6F4B"/>
    <w:rsid w:val="00D22E43"/>
    <w:rsid w:val="00D33838"/>
    <w:rsid w:val="00D33B83"/>
    <w:rsid w:val="00D43D6C"/>
    <w:rsid w:val="00D55593"/>
    <w:rsid w:val="00D66183"/>
    <w:rsid w:val="00D75A5E"/>
    <w:rsid w:val="00D93D8A"/>
    <w:rsid w:val="00D9423E"/>
    <w:rsid w:val="00DA5C29"/>
    <w:rsid w:val="00DB4868"/>
    <w:rsid w:val="00DD6D07"/>
    <w:rsid w:val="00DE5667"/>
    <w:rsid w:val="00DF297C"/>
    <w:rsid w:val="00DF3235"/>
    <w:rsid w:val="00E11C6A"/>
    <w:rsid w:val="00E11E15"/>
    <w:rsid w:val="00E21C65"/>
    <w:rsid w:val="00E27863"/>
    <w:rsid w:val="00E304B8"/>
    <w:rsid w:val="00E35741"/>
    <w:rsid w:val="00E45878"/>
    <w:rsid w:val="00E500A3"/>
    <w:rsid w:val="00E51ADF"/>
    <w:rsid w:val="00E72BCA"/>
    <w:rsid w:val="00E90906"/>
    <w:rsid w:val="00EA07D6"/>
    <w:rsid w:val="00EA2B7E"/>
    <w:rsid w:val="00EA360F"/>
    <w:rsid w:val="00EA6BF2"/>
    <w:rsid w:val="00EA7350"/>
    <w:rsid w:val="00EC2BCF"/>
    <w:rsid w:val="00ED7C95"/>
    <w:rsid w:val="00F1307A"/>
    <w:rsid w:val="00F15D3E"/>
    <w:rsid w:val="00F17C99"/>
    <w:rsid w:val="00F23D8F"/>
    <w:rsid w:val="00F302EF"/>
    <w:rsid w:val="00F46804"/>
    <w:rsid w:val="00F47895"/>
    <w:rsid w:val="00F53FBB"/>
    <w:rsid w:val="00F622EA"/>
    <w:rsid w:val="00F647D9"/>
    <w:rsid w:val="00F82B0B"/>
    <w:rsid w:val="00F874F3"/>
    <w:rsid w:val="00FA1FFD"/>
    <w:rsid w:val="00FC4828"/>
    <w:rsid w:val="00FD08D1"/>
    <w:rsid w:val="00FD73BE"/>
    <w:rsid w:val="00FD7E87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99E38"/>
  <w15:chartTrackingRefBased/>
  <w15:docId w15:val="{F10BCF16-CF99-48C7-B3CB-A73EA294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D6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E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3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83F"/>
  </w:style>
  <w:style w:type="paragraph" w:styleId="Footer">
    <w:name w:val="footer"/>
    <w:basedOn w:val="Normal"/>
    <w:link w:val="FooterChar"/>
    <w:uiPriority w:val="99"/>
    <w:unhideWhenUsed/>
    <w:rsid w:val="00603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83F"/>
  </w:style>
  <w:style w:type="paragraph" w:styleId="TOC1">
    <w:name w:val="toc 1"/>
    <w:basedOn w:val="Normal"/>
    <w:next w:val="Normal"/>
    <w:autoRedefine/>
    <w:uiPriority w:val="39"/>
    <w:unhideWhenUsed/>
    <w:rsid w:val="004F5183"/>
    <w:pPr>
      <w:tabs>
        <w:tab w:val="right" w:leader="dot" w:pos="9350"/>
      </w:tabs>
      <w:spacing w:after="100"/>
      <w:jc w:val="center"/>
    </w:pPr>
    <w:rPr>
      <w:b/>
      <w:bCs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DF297C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B2AA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5B2AAD"/>
  </w:style>
  <w:style w:type="paragraph" w:styleId="NormalWeb">
    <w:name w:val="Normal (Web)"/>
    <w:basedOn w:val="Normal"/>
    <w:uiPriority w:val="99"/>
    <w:semiHidden/>
    <w:unhideWhenUsed/>
    <w:rsid w:val="00C73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A2E60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D22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2E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2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E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Bou20</b:Tag>
    <b:SourceType>JournalArticle</b:SourceType>
    <b:Guid>{80537544-8FBB-4602-BA4B-F13610C6C8D5}</b:Guid>
    <b:Title>Trends in prevalence of blindness and distance and near vision impairment over 30 years: an analysis for the Global Burden of Disease Study</b:Title>
    <b:Year>2020</b:Year>
    <b:Author>
      <b:Author>
        <b:NameList>
          <b:Person>
            <b:Last>Bourne</b:Last>
            <b:First>R</b:First>
          </b:Person>
          <b:Person>
            <b:Last>Steinmetz</b:Last>
            <b:First>J</b:First>
          </b:Person>
          <b:Person>
            <b:Last>Flaxman</b:Last>
            <b:First>S</b:First>
          </b:Person>
          <b:Person>
            <b:Last>et al.</b:Last>
          </b:Person>
        </b:NameList>
      </b:Author>
    </b:Author>
    <b:JournalName>The Lancet Global Health</b:JournalName>
    <b:RefOrder>1</b:RefOrder>
  </b:Source>
  <b:Source>
    <b:Tag>Bru15</b:Tag>
    <b:SourceType>JournalArticle</b:SourceType>
    <b:Guid>{2D292385-FD3E-408F-8EA5-EEB051C44DD6}</b:Guid>
    <b:Author>
      <b:Author>
        <b:NameList>
          <b:Person>
            <b:Last>Brundle</b:Last>
            <b:First>Caroline </b:First>
          </b:Person>
          <b:Person>
            <b:Last>et al.</b:Last>
          </b:Person>
        </b:NameList>
      </b:Author>
    </b:Author>
    <b:Title>The causes of falls: views of older people with visual impairment</b:Title>
    <b:JournalName>Health Expect</b:JournalName>
    <b:Year>2015</b:Year>
    <b:RefOrder>2</b:RefOrder>
  </b:Source>
  <b:Source>
    <b:Tag>Det</b:Tag>
    <b:SourceType>InternetSite</b:SourceType>
    <b:Guid>{4092D766-D332-4DF0-BE0F-9088BF03BBA2}</b:Guid>
    <b:Title>Detailed Introduction to the Smart White Cane WeWALK</b:Title>
    <b:URL>https://wewalk.io/en/detailed-introduction-to-the-smart-white-cane-wewalk/</b:URL>
    <b:RefOrder>3</b:RefOrder>
  </b:Source>
  <b:Source>
    <b:Tag>Uni15</b:Tag>
    <b:SourceType>InternetSite</b:SourceType>
    <b:Guid>{02E9B586-06D4-433D-A380-4B080D86C6C9}</b:Guid>
    <b:Title>The 17 Goals</b:Title>
    <b:Year>2015</b:Year>
    <b:Author>
      <b:Author>
        <b:Corporate>United Nations</b:Corporate>
      </b:Author>
    </b:Author>
    <b:DayAccessed>8/30/2026</b:DayAccessed>
    <b:URL>https://sdgs.un.org/goals</b:URL>
    <b:RefOrder>4</b:RefOrder>
  </b:Source>
</b:Sources>
</file>

<file path=customXml/itemProps1.xml><?xml version="1.0" encoding="utf-8"?>
<ds:datastoreItem xmlns:ds="http://schemas.openxmlformats.org/officeDocument/2006/customXml" ds:itemID="{AD85483C-1C92-4844-BBDD-EDA4BA61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971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6500</CharactersWithSpaces>
  <SharedDoc>false</SharedDoc>
  <HLinks>
    <vt:vector size="48" baseType="variant"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_Toc239020895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_Toc239020894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_Toc239020893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_Toc239020892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_Toc239020891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_Toc239020890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_Toc239020889</vt:lpwstr>
      </vt:variant>
      <vt:variant>
        <vt:i4>1835057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_Toc239020888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D Pervin</dc:creator>
  <cp:keywords/>
  <dc:description/>
  <cp:lastModifiedBy>Nathan D Pervin</cp:lastModifiedBy>
  <cp:revision>152</cp:revision>
  <dcterms:created xsi:type="dcterms:W3CDTF">2026-08-30T17:56:00Z</dcterms:created>
  <dcterms:modified xsi:type="dcterms:W3CDTF">2026-08-31T02:51:00Z</dcterms:modified>
</cp:coreProperties>
</file>