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D1CB5" w14:textId="4A41B6DC" w:rsidR="006C6735" w:rsidRDefault="00CD0A9E" w:rsidP="009D5B84">
      <w:pPr>
        <w:pStyle w:val="Heading1"/>
        <w:spacing w:before="0" w:after="240"/>
        <w:ind w:left="0" w:right="0" w:firstLine="0"/>
        <w:jc w:val="center"/>
      </w:pPr>
      <w:r w:rsidRPr="00CD0A9E">
        <w:t>Automated Interpretation and Visualization</w:t>
      </w:r>
      <w:r w:rsidR="002A35FF">
        <w:br/>
      </w:r>
      <w:r w:rsidRPr="00CD0A9E">
        <w:t>in Digital Pathology</w:t>
      </w:r>
    </w:p>
    <w:p w14:paraId="6292F09E" w14:textId="27471F3C" w:rsidR="006C6735" w:rsidRDefault="00000000" w:rsidP="009D5B84">
      <w:pPr>
        <w:tabs>
          <w:tab w:val="left" w:pos="10440"/>
        </w:tabs>
        <w:ind w:right="360"/>
        <w:jc w:val="center"/>
      </w:pPr>
      <w:r>
        <w:t>M.</w:t>
      </w:r>
      <w:r w:rsidR="00CD0A9E">
        <w:t>A. Al</w:t>
      </w:r>
      <w:r>
        <w:rPr>
          <w:spacing w:val="-7"/>
        </w:rPr>
        <w:t xml:space="preserve"> </w:t>
      </w:r>
      <w:r w:rsidR="00CD0A9E">
        <w:t>Mamun</w:t>
      </w:r>
      <w:r>
        <w:t>,</w:t>
      </w:r>
      <w:r>
        <w:rPr>
          <w:spacing w:val="-7"/>
        </w:rPr>
        <w:t xml:space="preserve"> </w:t>
      </w:r>
      <w:r w:rsidR="00CD0A9E" w:rsidRPr="00CD0A9E">
        <w:t>S. Purba, I. Obeid and J. Picone</w:t>
      </w:r>
      <w:r>
        <w:t xml:space="preserve"> </w:t>
      </w:r>
      <w:r w:rsidR="00477FFB">
        <w:br/>
        <w:t>Neural Engineering Data Consortium</w:t>
      </w:r>
      <w:r w:rsidR="000476ED" w:rsidRPr="000476ED">
        <w:t>,</w:t>
      </w:r>
      <w:r w:rsidR="000476ED">
        <w:t xml:space="preserve"> </w:t>
      </w:r>
      <w:r w:rsidR="00CD0A9E">
        <w:t>Temple</w:t>
      </w:r>
      <w:r w:rsidR="009D5B84">
        <w:t xml:space="preserve"> U</w:t>
      </w:r>
      <w:r>
        <w:t>niversity</w:t>
      </w:r>
    </w:p>
    <w:p w14:paraId="3A25C553" w14:textId="006EA302" w:rsidR="006C6735" w:rsidRDefault="00E64B62" w:rsidP="009D5B84">
      <w:pPr>
        <w:tabs>
          <w:tab w:val="left" w:pos="10440"/>
        </w:tabs>
        <w:ind w:right="360"/>
        <w:jc w:val="center"/>
      </w:pPr>
      <w:r>
        <w:t>19</w:t>
      </w:r>
      <w:r w:rsidR="004652DB">
        <w:t>4</w:t>
      </w:r>
      <w:r>
        <w:t>7</w:t>
      </w:r>
      <w:r w:rsidR="00CD0A9E" w:rsidRPr="00CD0A9E">
        <w:t xml:space="preserve"> N </w:t>
      </w:r>
      <w:r>
        <w:t>12</w:t>
      </w:r>
      <w:r w:rsidRPr="00E64B62">
        <w:rPr>
          <w:vertAlign w:val="superscript"/>
        </w:rPr>
        <w:t>th</w:t>
      </w:r>
      <w:r w:rsidR="00CD0A9E" w:rsidRPr="00CD0A9E">
        <w:t xml:space="preserve"> St</w:t>
      </w:r>
      <w:r w:rsidR="009D5B84">
        <w:t>reet</w:t>
      </w:r>
    </w:p>
    <w:p w14:paraId="560FD885" w14:textId="3F7123B5" w:rsidR="006C6735" w:rsidRDefault="00CD0A9E" w:rsidP="009D5B84">
      <w:pPr>
        <w:tabs>
          <w:tab w:val="left" w:pos="10440"/>
        </w:tabs>
        <w:ind w:right="360"/>
        <w:jc w:val="center"/>
      </w:pPr>
      <w:r w:rsidRPr="00CD0A9E">
        <w:t>Philadelphia, PA 19</w:t>
      </w:r>
      <w:r w:rsidR="00E64B62">
        <w:t>122</w:t>
      </w:r>
    </w:p>
    <w:p w14:paraId="582301E8" w14:textId="77777777" w:rsidR="007B084C" w:rsidRDefault="007B084C" w:rsidP="007B084C">
      <w:pPr>
        <w:spacing w:before="18"/>
        <w:ind w:right="1"/>
        <w:sectPr w:rsidR="007B084C" w:rsidSect="007B084C">
          <w:type w:val="continuous"/>
          <w:pgSz w:w="12240" w:h="15840"/>
          <w:pgMar w:top="1008" w:right="720" w:bottom="1008" w:left="720" w:header="720" w:footer="720" w:gutter="0"/>
          <w:cols w:space="720"/>
        </w:sectPr>
      </w:pPr>
    </w:p>
    <w:p w14:paraId="5D6A89DA" w14:textId="18602846" w:rsidR="007B084C" w:rsidRDefault="00FC062F" w:rsidP="007B084C">
      <w:pPr>
        <w:spacing w:before="18"/>
        <w:ind w:right="1"/>
        <w:sectPr w:rsidR="007B084C" w:rsidSect="007B084C">
          <w:type w:val="continuous"/>
          <w:pgSz w:w="12240" w:h="15840"/>
          <w:pgMar w:top="1008" w:right="720" w:bottom="1008" w:left="720" w:header="720" w:footer="720" w:gutter="0"/>
          <w:cols w:space="720"/>
        </w:sectPr>
      </w:pPr>
      <w:r>
        <w:rPr>
          <w:noProof/>
        </w:rPr>
        <mc:AlternateContent>
          <mc:Choice Requires="wps">
            <w:drawing>
              <wp:anchor distT="137160" distB="137160" distL="0" distR="0" simplePos="0" relativeHeight="251661824" behindDoc="0" locked="0" layoutInCell="1" allowOverlap="1" wp14:anchorId="53FBE2B0" wp14:editId="239B8CC1">
                <wp:simplePos x="0" y="0"/>
                <wp:positionH relativeFrom="column">
                  <wp:posOffset>3502025</wp:posOffset>
                </wp:positionH>
                <wp:positionV relativeFrom="paragraph">
                  <wp:posOffset>232990</wp:posOffset>
                </wp:positionV>
                <wp:extent cx="3145155" cy="3243580"/>
                <wp:effectExtent l="0" t="0" r="4445" b="0"/>
                <wp:wrapSquare wrapText="bothSides"/>
                <wp:docPr id="51167730" name="Text Box 3"/>
                <wp:cNvGraphicFramePr/>
                <a:graphic xmlns:a="http://schemas.openxmlformats.org/drawingml/2006/main">
                  <a:graphicData uri="http://schemas.microsoft.com/office/word/2010/wordprocessingShape">
                    <wps:wsp>
                      <wps:cNvSpPr txBox="1"/>
                      <wps:spPr>
                        <a:xfrm>
                          <a:off x="0" y="0"/>
                          <a:ext cx="3145155" cy="3243580"/>
                        </a:xfrm>
                        <a:prstGeom prst="rect">
                          <a:avLst/>
                        </a:prstGeom>
                        <a:solidFill>
                          <a:schemeClr val="lt1"/>
                        </a:solidFill>
                        <a:ln w="6350">
                          <a:noFill/>
                        </a:ln>
                      </wps:spPr>
                      <wps:txbx>
                        <w:txbxContent>
                          <w:p w14:paraId="5F7A60CD" w14:textId="084DC72E" w:rsidR="00835C19" w:rsidRDefault="00835C19" w:rsidP="00FC062F">
                            <w:pPr>
                              <w:jc w:val="center"/>
                            </w:pPr>
                            <w:r>
                              <w:rPr>
                                <w:noProof/>
                              </w:rPr>
                              <w:drawing>
                                <wp:inline distT="0" distB="0" distL="0" distR="0" wp14:anchorId="2ADED94C" wp14:editId="01EB2C30">
                                  <wp:extent cx="3081020" cy="2918460"/>
                                  <wp:effectExtent l="0" t="0" r="5080" b="2540"/>
                                  <wp:docPr id="3234421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42193" name="Picture 1" descr="A screenshot of a computer&#10;&#10;AI-generated content may be incorrect."/>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1020" cy="2918460"/>
                                          </a:xfrm>
                                          <a:prstGeom prst="rect">
                                            <a:avLst/>
                                          </a:prstGeom>
                                        </pic:spPr>
                                      </pic:pic>
                                    </a:graphicData>
                                  </a:graphic>
                                </wp:inline>
                              </w:drawing>
                            </w:r>
                          </w:p>
                          <w:p w14:paraId="56447EC1" w14:textId="36312D24" w:rsidR="00835C19" w:rsidRPr="00835C19" w:rsidRDefault="00835C19" w:rsidP="00835C19">
                            <w:pPr>
                              <w:pStyle w:val="Caption"/>
                              <w:spacing w:before="120" w:after="120"/>
                              <w:jc w:val="both"/>
                              <w:rPr>
                                <w:b/>
                                <w:i w:val="0"/>
                                <w:iCs w:val="0"/>
                                <w:noProof/>
                                <w:color w:val="000000" w:themeColor="text1"/>
                                <w:sz w:val="16"/>
                                <w:szCs w:val="16"/>
                              </w:rPr>
                            </w:pPr>
                            <w:bookmarkStart w:id="0" w:name="_Ref222427144"/>
                            <w:r w:rsidRPr="00835C19">
                              <w:rPr>
                                <w:i w:val="0"/>
                                <w:iCs w:val="0"/>
                                <w:color w:val="000000" w:themeColor="text1"/>
                                <w:sz w:val="16"/>
                                <w:szCs w:val="16"/>
                              </w:rPr>
                              <w:t xml:space="preserve">Figure </w:t>
                            </w:r>
                            <w:r w:rsidRPr="00835C19">
                              <w:rPr>
                                <w:i w:val="0"/>
                                <w:iCs w:val="0"/>
                                <w:color w:val="000000" w:themeColor="text1"/>
                                <w:sz w:val="16"/>
                                <w:szCs w:val="16"/>
                              </w:rPr>
                              <w:fldChar w:fldCharType="begin"/>
                            </w:r>
                            <w:r w:rsidRPr="00835C19">
                              <w:rPr>
                                <w:i w:val="0"/>
                                <w:iCs w:val="0"/>
                                <w:color w:val="000000" w:themeColor="text1"/>
                                <w:sz w:val="16"/>
                                <w:szCs w:val="16"/>
                              </w:rPr>
                              <w:instrText xml:space="preserve"> SEQ Figure \* ARABIC </w:instrText>
                            </w:r>
                            <w:r w:rsidRPr="00835C19">
                              <w:rPr>
                                <w:i w:val="0"/>
                                <w:iCs w:val="0"/>
                                <w:color w:val="000000" w:themeColor="text1"/>
                                <w:sz w:val="16"/>
                                <w:szCs w:val="16"/>
                              </w:rPr>
                              <w:fldChar w:fldCharType="separate"/>
                            </w:r>
                            <w:r w:rsidR="00FD67CE">
                              <w:rPr>
                                <w:i w:val="0"/>
                                <w:iCs w:val="0"/>
                                <w:noProof/>
                                <w:color w:val="000000" w:themeColor="text1"/>
                                <w:sz w:val="16"/>
                                <w:szCs w:val="16"/>
                              </w:rPr>
                              <w:t>1</w:t>
                            </w:r>
                            <w:r w:rsidRPr="00835C19">
                              <w:rPr>
                                <w:i w:val="0"/>
                                <w:iCs w:val="0"/>
                                <w:color w:val="000000" w:themeColor="text1"/>
                                <w:sz w:val="16"/>
                                <w:szCs w:val="16"/>
                              </w:rPr>
                              <w:fldChar w:fldCharType="end"/>
                            </w:r>
                            <w:bookmarkEnd w:id="0"/>
                            <w:r w:rsidRPr="00835C19">
                              <w:rPr>
                                <w:i w:val="0"/>
                                <w:iCs w:val="0"/>
                                <w:color w:val="000000" w:themeColor="text1"/>
                                <w:sz w:val="16"/>
                                <w:szCs w:val="16"/>
                              </w:rPr>
                              <w:t xml:space="preserve">. </w:t>
                            </w:r>
                            <w:r w:rsidR="009E2443">
                              <w:rPr>
                                <w:i w:val="0"/>
                                <w:iCs w:val="0"/>
                                <w:color w:val="000000" w:themeColor="text1"/>
                                <w:sz w:val="16"/>
                                <w:szCs w:val="16"/>
                              </w:rPr>
                              <w:t xml:space="preserve">An interactive visualization of an annotated pathology image that includes a </w:t>
                            </w:r>
                            <w:r w:rsidRPr="00835C19">
                              <w:rPr>
                                <w:i w:val="0"/>
                                <w:iCs w:val="0"/>
                                <w:color w:val="000000" w:themeColor="text1"/>
                                <w:sz w:val="16"/>
                                <w:szCs w:val="16"/>
                              </w:rPr>
                              <w:t>heatmap</w:t>
                            </w:r>
                            <w:r w:rsidR="009E2443">
                              <w:rPr>
                                <w:i w:val="0"/>
                                <w:iCs w:val="0"/>
                                <w:color w:val="000000" w:themeColor="text1"/>
                                <w:sz w:val="16"/>
                                <w:szCs w:val="16"/>
                              </w:rPr>
                              <w:t xml:space="preserve"> </w:t>
                            </w:r>
                            <w:r w:rsidRPr="00835C19">
                              <w:rPr>
                                <w:i w:val="0"/>
                                <w:iCs w:val="0"/>
                                <w:color w:val="000000" w:themeColor="text1"/>
                                <w:sz w:val="16"/>
                                <w:szCs w:val="16"/>
                              </w:rPr>
                              <w:t>and confidence metrics</w:t>
                            </w:r>
                          </w:p>
                          <w:p w14:paraId="58DC5445" w14:textId="77777777" w:rsidR="00835C19" w:rsidRDefault="00835C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BE2B0" id="_x0000_t202" coordsize="21600,21600" o:spt="202" path="m,l,21600r21600,l21600,xe">
                <v:stroke joinstyle="miter"/>
                <v:path gradientshapeok="t" o:connecttype="rect"/>
              </v:shapetype>
              <v:shape id="Text Box 3" o:spid="_x0000_s1026" type="#_x0000_t202" style="position:absolute;margin-left:275.75pt;margin-top:18.35pt;width:247.65pt;height:255.4pt;z-index:251661824;visibility:visible;mso-wrap-style:square;mso-width-percent:0;mso-height-percent:0;mso-wrap-distance-left:0;mso-wrap-distance-top:10.8pt;mso-wrap-distance-right:0;mso-wrap-distance-bottom:10.8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" fillcolor="white [3201]" stroked="f" strokeweight=".5pt">
                <v:textbox inset="0,0,0,0">
                  <w:txbxContent>
                    <w:p w14:paraId="5F7A60CD" w14:textId="084DC72E" w:rsidR="00835C19" w:rsidRDefault="00835C19" w:rsidP="00FC062F">
                      <w:pPr>
                        <w:jc w:val="center"/>
                      </w:pPr>
                      <w:r>
                        <w:rPr>
                          <w:noProof/>
                        </w:rPr>
                        <w:drawing>
                          <wp:inline distT="0" distB="0" distL="0" distR="0" wp14:anchorId="2ADED94C" wp14:editId="01EB2C30">
                            <wp:extent cx="3081020" cy="2918460"/>
                            <wp:effectExtent l="0" t="0" r="5080" b="2540"/>
                            <wp:docPr id="3234421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42193" name="Picture 1" descr="A screenshot of a computer&#10;&#10;AI-generated content may be incorrect."/>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1020" cy="2918460"/>
                                    </a:xfrm>
                                    <a:prstGeom prst="rect">
                                      <a:avLst/>
                                    </a:prstGeom>
                                  </pic:spPr>
                                </pic:pic>
                              </a:graphicData>
                            </a:graphic>
                          </wp:inline>
                        </w:drawing>
                      </w:r>
                    </w:p>
                    <w:p w14:paraId="56447EC1" w14:textId="36312D24" w:rsidR="00835C19" w:rsidRPr="00835C19" w:rsidRDefault="00835C19" w:rsidP="00835C19">
                      <w:pPr>
                        <w:pStyle w:val="Caption"/>
                        <w:spacing w:before="120" w:after="120"/>
                        <w:jc w:val="both"/>
                        <w:rPr>
                          <w:b/>
                          <w:i w:val="0"/>
                          <w:iCs w:val="0"/>
                          <w:noProof/>
                          <w:color w:val="000000" w:themeColor="text1"/>
                          <w:sz w:val="16"/>
                          <w:szCs w:val="16"/>
                        </w:rPr>
                      </w:pPr>
                      <w:bookmarkStart w:id="1" w:name="_Ref222427144"/>
                      <w:r w:rsidRPr="00835C19">
                        <w:rPr>
                          <w:i w:val="0"/>
                          <w:iCs w:val="0"/>
                          <w:color w:val="000000" w:themeColor="text1"/>
                          <w:sz w:val="16"/>
                          <w:szCs w:val="16"/>
                        </w:rPr>
                        <w:t xml:space="preserve">Figure </w:t>
                      </w:r>
                      <w:r w:rsidRPr="00835C19">
                        <w:rPr>
                          <w:i w:val="0"/>
                          <w:iCs w:val="0"/>
                          <w:color w:val="000000" w:themeColor="text1"/>
                          <w:sz w:val="16"/>
                          <w:szCs w:val="16"/>
                        </w:rPr>
                        <w:fldChar w:fldCharType="begin"/>
                      </w:r>
                      <w:r w:rsidRPr="00835C19">
                        <w:rPr>
                          <w:i w:val="0"/>
                          <w:iCs w:val="0"/>
                          <w:color w:val="000000" w:themeColor="text1"/>
                          <w:sz w:val="16"/>
                          <w:szCs w:val="16"/>
                        </w:rPr>
                        <w:instrText xml:space="preserve"> SEQ Figure \* ARABIC </w:instrText>
                      </w:r>
                      <w:r w:rsidRPr="00835C19">
                        <w:rPr>
                          <w:i w:val="0"/>
                          <w:iCs w:val="0"/>
                          <w:color w:val="000000" w:themeColor="text1"/>
                          <w:sz w:val="16"/>
                          <w:szCs w:val="16"/>
                        </w:rPr>
                        <w:fldChar w:fldCharType="separate"/>
                      </w:r>
                      <w:r w:rsidR="00FD67CE">
                        <w:rPr>
                          <w:i w:val="0"/>
                          <w:iCs w:val="0"/>
                          <w:noProof/>
                          <w:color w:val="000000" w:themeColor="text1"/>
                          <w:sz w:val="16"/>
                          <w:szCs w:val="16"/>
                        </w:rPr>
                        <w:t>1</w:t>
                      </w:r>
                      <w:r w:rsidRPr="00835C19">
                        <w:rPr>
                          <w:i w:val="0"/>
                          <w:iCs w:val="0"/>
                          <w:color w:val="000000" w:themeColor="text1"/>
                          <w:sz w:val="16"/>
                          <w:szCs w:val="16"/>
                        </w:rPr>
                        <w:fldChar w:fldCharType="end"/>
                      </w:r>
                      <w:bookmarkEnd w:id="1"/>
                      <w:r w:rsidRPr="00835C19">
                        <w:rPr>
                          <w:i w:val="0"/>
                          <w:iCs w:val="0"/>
                          <w:color w:val="000000" w:themeColor="text1"/>
                          <w:sz w:val="16"/>
                          <w:szCs w:val="16"/>
                        </w:rPr>
                        <w:t xml:space="preserve">. </w:t>
                      </w:r>
                      <w:r w:rsidR="009E2443">
                        <w:rPr>
                          <w:i w:val="0"/>
                          <w:iCs w:val="0"/>
                          <w:color w:val="000000" w:themeColor="text1"/>
                          <w:sz w:val="16"/>
                          <w:szCs w:val="16"/>
                        </w:rPr>
                        <w:t xml:space="preserve">An interactive visualization of an annotated pathology image that includes a </w:t>
                      </w:r>
                      <w:r w:rsidRPr="00835C19">
                        <w:rPr>
                          <w:i w:val="0"/>
                          <w:iCs w:val="0"/>
                          <w:color w:val="000000" w:themeColor="text1"/>
                          <w:sz w:val="16"/>
                          <w:szCs w:val="16"/>
                        </w:rPr>
                        <w:t>heatmap</w:t>
                      </w:r>
                      <w:r w:rsidR="009E2443">
                        <w:rPr>
                          <w:i w:val="0"/>
                          <w:iCs w:val="0"/>
                          <w:color w:val="000000" w:themeColor="text1"/>
                          <w:sz w:val="16"/>
                          <w:szCs w:val="16"/>
                        </w:rPr>
                        <w:t xml:space="preserve"> </w:t>
                      </w:r>
                      <w:r w:rsidRPr="00835C19">
                        <w:rPr>
                          <w:i w:val="0"/>
                          <w:iCs w:val="0"/>
                          <w:color w:val="000000" w:themeColor="text1"/>
                          <w:sz w:val="16"/>
                          <w:szCs w:val="16"/>
                        </w:rPr>
                        <w:t>and confidence metrics</w:t>
                      </w:r>
                    </w:p>
                    <w:p w14:paraId="58DC5445" w14:textId="77777777" w:rsidR="00835C19" w:rsidRDefault="00835C19"/>
                  </w:txbxContent>
                </v:textbox>
                <w10:wrap type="square"/>
              </v:shape>
            </w:pict>
          </mc:Fallback>
        </mc:AlternateContent>
      </w:r>
    </w:p>
    <w:p w14:paraId="72C7F342" w14:textId="19674C3C" w:rsidR="007B084C" w:rsidRDefault="007B084C" w:rsidP="00835C19">
      <w:pPr>
        <w:ind w:right="187"/>
        <w:jc w:val="both"/>
        <w:rPr>
          <w:b/>
          <w:i/>
          <w:sz w:val="18"/>
        </w:rPr>
      </w:pPr>
      <w:r w:rsidRPr="000D0EAE">
        <w:rPr>
          <w:b/>
          <w:i/>
          <w:sz w:val="18"/>
        </w:rPr>
        <w:t>Abstract—</w:t>
      </w:r>
      <w:r w:rsidR="002A35FF" w:rsidRPr="002A35FF">
        <w:rPr>
          <w:b/>
          <w:sz w:val="18"/>
        </w:rPr>
        <w:t xml:space="preserve"> </w:t>
      </w:r>
      <w:r w:rsidR="002A35FF">
        <w:rPr>
          <w:b/>
          <w:sz w:val="18"/>
        </w:rPr>
        <w:t xml:space="preserve">There is a critical </w:t>
      </w:r>
      <w:r w:rsidR="002A35FF" w:rsidRPr="0092176F">
        <w:rPr>
          <w:b/>
          <w:sz w:val="18"/>
        </w:rPr>
        <w:t>need for AI tools that support early screening and efficient tissue analysis</w:t>
      </w:r>
      <w:r w:rsidR="002A35FF">
        <w:rPr>
          <w:b/>
          <w:sz w:val="18"/>
        </w:rPr>
        <w:t xml:space="preserve"> in pathology. </w:t>
      </w:r>
      <w:r w:rsidR="00835C19" w:rsidRPr="00835C19">
        <w:rPr>
          <w:b/>
          <w:sz w:val="18"/>
          <w:szCs w:val="22"/>
        </w:rPr>
        <w:t xml:space="preserve">Despite tremendous advances recently in artificial intelligence, high performance segmentation of high-resolution pathology images remains an elusive goal. </w:t>
      </w:r>
      <w:r w:rsidRPr="0092176F">
        <w:rPr>
          <w:b/>
          <w:sz w:val="18"/>
        </w:rPr>
        <w:t xml:space="preserve">This paper introduces </w:t>
      </w:r>
      <w:r w:rsidR="002A35FF">
        <w:rPr>
          <w:b/>
          <w:sz w:val="18"/>
        </w:rPr>
        <w:t xml:space="preserve">a deep learning based system that </w:t>
      </w:r>
      <w:r w:rsidRPr="0092176F">
        <w:rPr>
          <w:b/>
          <w:sz w:val="18"/>
        </w:rPr>
        <w:t>automatically interpret</w:t>
      </w:r>
      <w:r w:rsidR="002A35FF">
        <w:rPr>
          <w:b/>
          <w:sz w:val="18"/>
        </w:rPr>
        <w:t>s</w:t>
      </w:r>
      <w:r w:rsidRPr="0092176F">
        <w:rPr>
          <w:b/>
          <w:sz w:val="18"/>
        </w:rPr>
        <w:t xml:space="preserve"> and visualize</w:t>
      </w:r>
      <w:r w:rsidR="002A35FF">
        <w:rPr>
          <w:b/>
          <w:sz w:val="18"/>
        </w:rPr>
        <w:t>s</w:t>
      </w:r>
      <w:r w:rsidRPr="0092176F">
        <w:rPr>
          <w:b/>
          <w:sz w:val="18"/>
        </w:rPr>
        <w:t xml:space="preserve"> digital pathology images. </w:t>
      </w:r>
      <w:r w:rsidR="002A35FF">
        <w:rPr>
          <w:b/>
          <w:sz w:val="18"/>
        </w:rPr>
        <w:t xml:space="preserve">The </w:t>
      </w:r>
      <w:r w:rsidRPr="0092176F">
        <w:rPr>
          <w:b/>
          <w:sz w:val="18"/>
        </w:rPr>
        <w:t>proposed</w:t>
      </w:r>
      <w:r w:rsidR="002A35FF">
        <w:rPr>
          <w:b/>
          <w:sz w:val="18"/>
        </w:rPr>
        <w:t xml:space="preserve"> open source </w:t>
      </w:r>
      <w:r w:rsidRPr="0092176F">
        <w:rPr>
          <w:b/>
          <w:sz w:val="18"/>
        </w:rPr>
        <w:t xml:space="preserve">system utilizes a modular architecture </w:t>
      </w:r>
      <w:r w:rsidR="002A35FF">
        <w:rPr>
          <w:b/>
          <w:sz w:val="18"/>
        </w:rPr>
        <w:t xml:space="preserve">that includes four major steps: </w:t>
      </w:r>
      <w:r w:rsidRPr="0092176F">
        <w:rPr>
          <w:b/>
          <w:sz w:val="18"/>
        </w:rPr>
        <w:t>preprocessing, decoding, post-processing, and visualization. Unlike generic off-the-shelf solutions, the inference engine is powered by deep learning models</w:t>
      </w:r>
      <w:r w:rsidR="002A35FF">
        <w:rPr>
          <w:b/>
          <w:sz w:val="18"/>
        </w:rPr>
        <w:t> </w:t>
      </w:r>
      <w:r w:rsidRPr="0092176F">
        <w:rPr>
          <w:b/>
          <w:sz w:val="18"/>
        </w:rPr>
        <w:t>—</w:t>
      </w:r>
      <w:r w:rsidR="002A35FF">
        <w:rPr>
          <w:b/>
          <w:sz w:val="18"/>
        </w:rPr>
        <w:t> </w:t>
      </w:r>
      <w:r w:rsidRPr="0092176F">
        <w:rPr>
          <w:b/>
          <w:sz w:val="18"/>
        </w:rPr>
        <w:t>specifically EfficientNet, ResNet, and Vision Transformers (ViT)</w:t>
      </w:r>
      <w:r w:rsidR="002A35FF">
        <w:rPr>
          <w:b/>
          <w:sz w:val="18"/>
        </w:rPr>
        <w:t xml:space="preserve">. These models have been </w:t>
      </w:r>
      <w:r w:rsidRPr="0092176F">
        <w:rPr>
          <w:b/>
          <w:sz w:val="18"/>
        </w:rPr>
        <w:t xml:space="preserve">trained on </w:t>
      </w:r>
      <w:r w:rsidR="002A35FF">
        <w:rPr>
          <w:b/>
          <w:sz w:val="18"/>
        </w:rPr>
        <w:t xml:space="preserve">two recently released corpora: </w:t>
      </w:r>
      <w:r w:rsidRPr="0092176F">
        <w:rPr>
          <w:b/>
          <w:sz w:val="18"/>
        </w:rPr>
        <w:t>the Temple University Hospital</w:t>
      </w:r>
      <w:r w:rsidR="002A35FF">
        <w:rPr>
          <w:b/>
          <w:sz w:val="18"/>
        </w:rPr>
        <w:t xml:space="preserve"> Breast Cancer Corpus</w:t>
      </w:r>
      <w:r w:rsidR="0029167E">
        <w:rPr>
          <w:b/>
          <w:sz w:val="18"/>
        </w:rPr>
        <w:t xml:space="preserve"> (TUBR) </w:t>
      </w:r>
      <w:r w:rsidR="002A35FF">
        <w:rPr>
          <w:b/>
          <w:sz w:val="18"/>
        </w:rPr>
        <w:t>and the F</w:t>
      </w:r>
      <w:r w:rsidRPr="0092176F">
        <w:rPr>
          <w:b/>
          <w:sz w:val="18"/>
        </w:rPr>
        <w:t xml:space="preserve">ox Chase Cancer Center </w:t>
      </w:r>
      <w:r w:rsidR="002A35FF">
        <w:rPr>
          <w:b/>
          <w:sz w:val="18"/>
        </w:rPr>
        <w:t>Breast Cancer Corpus</w:t>
      </w:r>
      <w:r w:rsidR="0029167E">
        <w:rPr>
          <w:b/>
          <w:sz w:val="18"/>
        </w:rPr>
        <w:t xml:space="preserve"> (FCBR)</w:t>
      </w:r>
      <w:r w:rsidRPr="0092176F">
        <w:rPr>
          <w:b/>
          <w:sz w:val="18"/>
        </w:rPr>
        <w:t xml:space="preserve">. The </w:t>
      </w:r>
      <w:r w:rsidR="002A35FF">
        <w:rPr>
          <w:b/>
          <w:sz w:val="18"/>
        </w:rPr>
        <w:t xml:space="preserve">baseline </w:t>
      </w:r>
      <w:r w:rsidRPr="0092176F">
        <w:rPr>
          <w:b/>
          <w:sz w:val="18"/>
        </w:rPr>
        <w:t xml:space="preserve">system </w:t>
      </w:r>
      <w:r w:rsidR="002A35FF">
        <w:rPr>
          <w:b/>
          <w:sz w:val="18"/>
        </w:rPr>
        <w:t xml:space="preserve">uses an </w:t>
      </w:r>
      <w:r w:rsidRPr="0092176F">
        <w:rPr>
          <w:b/>
          <w:sz w:val="18"/>
        </w:rPr>
        <w:t>optimized EfficientNet</w:t>
      </w:r>
      <w:r w:rsidR="0029167E">
        <w:rPr>
          <w:b/>
          <w:sz w:val="18"/>
        </w:rPr>
        <w:t> </w:t>
      </w:r>
      <w:r w:rsidRPr="0092176F">
        <w:rPr>
          <w:b/>
          <w:sz w:val="18"/>
        </w:rPr>
        <w:t xml:space="preserve">B0 model which balances computational efficiency with high-fidelity microsegmentation. </w:t>
      </w:r>
      <w:r w:rsidR="002A35FF">
        <w:rPr>
          <w:b/>
          <w:sz w:val="18"/>
        </w:rPr>
        <w:t xml:space="preserve">An </w:t>
      </w:r>
      <w:r w:rsidRPr="0092176F">
        <w:rPr>
          <w:b/>
          <w:sz w:val="18"/>
        </w:rPr>
        <w:t>interactive graphical user interface</w:t>
      </w:r>
      <w:r w:rsidR="002A35FF">
        <w:rPr>
          <w:b/>
          <w:sz w:val="18"/>
        </w:rPr>
        <w:t xml:space="preserve"> facilitates </w:t>
      </w:r>
      <w:r w:rsidRPr="0092176F">
        <w:rPr>
          <w:b/>
          <w:sz w:val="18"/>
        </w:rPr>
        <w:t xml:space="preserve">direct comparison of </w:t>
      </w:r>
      <w:r w:rsidR="002A35FF">
        <w:rPr>
          <w:b/>
          <w:sz w:val="18"/>
        </w:rPr>
        <w:t xml:space="preserve">an </w:t>
      </w:r>
      <w:r w:rsidRPr="0092176F">
        <w:rPr>
          <w:b/>
          <w:sz w:val="18"/>
        </w:rPr>
        <w:t>AI-generated hypoth</w:t>
      </w:r>
      <w:r w:rsidR="002A35FF">
        <w:rPr>
          <w:b/>
          <w:sz w:val="18"/>
        </w:rPr>
        <w:t>esis with e</w:t>
      </w:r>
      <w:r w:rsidRPr="0092176F">
        <w:rPr>
          <w:b/>
          <w:sz w:val="18"/>
        </w:rPr>
        <w:t>xpert ground-truth annotations via heatmaps and clinically weighted confidence metrics.</w:t>
      </w:r>
      <w:r w:rsidR="009E2443">
        <w:rPr>
          <w:b/>
          <w:sz w:val="18"/>
        </w:rPr>
        <w:t xml:space="preserve"> </w:t>
      </w:r>
      <w:r w:rsidR="0029167E">
        <w:rPr>
          <w:b/>
          <w:sz w:val="18"/>
        </w:rPr>
        <w:t>On a standard image segmentation and classification task, a</w:t>
      </w:r>
      <w:r w:rsidR="0029167E" w:rsidRPr="0029167E">
        <w:rPr>
          <w:b/>
          <w:sz w:val="18"/>
        </w:rPr>
        <w:t xml:space="preserve"> weighted error of 25.5% was achieved on TUBR using EfficientNet</w:t>
      </w:r>
      <w:r w:rsidR="0029167E">
        <w:rPr>
          <w:b/>
          <w:sz w:val="18"/>
        </w:rPr>
        <w:t> </w:t>
      </w:r>
      <w:r w:rsidR="0029167E" w:rsidRPr="0029167E">
        <w:rPr>
          <w:b/>
          <w:sz w:val="18"/>
        </w:rPr>
        <w:t>B7, while a weighted error of 25.0% was achieved on FCBR.</w:t>
      </w:r>
    </w:p>
    <w:p w14:paraId="2C0BC79F" w14:textId="242D6DAE" w:rsidR="007B084C" w:rsidRPr="00FC062F" w:rsidRDefault="007B084C" w:rsidP="00FC062F">
      <w:pPr>
        <w:pStyle w:val="ListParagraph"/>
        <w:numPr>
          <w:ilvl w:val="0"/>
          <w:numId w:val="10"/>
        </w:numPr>
        <w:spacing w:before="200" w:after="100"/>
        <w:jc w:val="center"/>
        <w:rPr>
          <w:sz w:val="16"/>
          <w:szCs w:val="16"/>
        </w:rPr>
      </w:pPr>
      <w:r w:rsidRPr="009E2443">
        <w:rPr>
          <w:smallCaps/>
          <w:spacing w:val="-2"/>
          <w:sz w:val="16"/>
          <w:szCs w:val="16"/>
        </w:rPr>
        <w:t>INTRODUCTION</w:t>
      </w:r>
    </w:p>
    <w:p w14:paraId="1C1062E8" w14:textId="747135FD" w:rsidR="007B084C" w:rsidRDefault="007B084C" w:rsidP="00FC062F">
      <w:pPr>
        <w:pStyle w:val="BodyText"/>
        <w:spacing w:before="0"/>
        <w:ind w:left="0" w:right="187" w:firstLine="187"/>
      </w:pPr>
      <w:r w:rsidRPr="000D0EAE">
        <w:t>Breast cancer remains the most diagnosed cancer and the leading cause of cancer death among women globally.</w:t>
      </w:r>
      <w:r>
        <w:t xml:space="preserve"> </w:t>
      </w:r>
      <w:r w:rsidRPr="000D0EAE">
        <w:t>While the demand for cancer treatment continues to rise, diagnostic technology and the available workforce have lagged</w:t>
      </w:r>
      <w:r w:rsidR="00FC062F">
        <w:t> </w:t>
      </w:r>
      <w:r w:rsidR="00C146EF">
        <w:fldChar w:fldCharType="begin"/>
      </w:r>
      <w:r w:rsidR="00C146EF">
        <w:instrText xml:space="preserve"> REF _Ref222251466 \r </w:instrText>
      </w:r>
      <w:r w:rsidR="00C146EF">
        <w:fldChar w:fldCharType="separate"/>
      </w:r>
      <w:r w:rsidR="00FD67CE">
        <w:t>[1]</w:t>
      </w:r>
      <w:r w:rsidR="00C146EF">
        <w:fldChar w:fldCharType="end"/>
      </w:r>
      <w:r w:rsidRPr="000D0EAE">
        <w:t>, leading to longer diagnosis times and delayed</w:t>
      </w:r>
      <w:r w:rsidR="00FD67CE">
        <w:t xml:space="preserve"> </w:t>
      </w:r>
      <w:r w:rsidRPr="000D0EAE">
        <w:t>treatment.</w:t>
      </w:r>
      <w:r w:rsidR="00FD67CE">
        <w:t xml:space="preserve"> With any form of cancer, early detection and treatment is crucial. </w:t>
      </w:r>
      <w:r w:rsidRPr="000D0EAE">
        <w:t>Pathology teams currently face growing pressure to review increasing caseloads with limited time and resources.</w:t>
      </w:r>
      <w:r w:rsidR="00FC062F">
        <w:t xml:space="preserve"> </w:t>
      </w:r>
      <w:r w:rsidRPr="000D0EAE">
        <w:t>Historically, pathologists have had to manually review every slide in a workflow</w:t>
      </w:r>
      <w:r w:rsidR="00FC062F">
        <w:t xml:space="preserve">, which </w:t>
      </w:r>
      <w:r w:rsidRPr="000D0EAE">
        <w:t xml:space="preserve">is labor-intensive and </w:t>
      </w:r>
      <w:r w:rsidR="00FC062F">
        <w:t>quite fatiguing</w:t>
      </w:r>
      <w:r w:rsidRPr="000D0EAE">
        <w:t xml:space="preserve">. Artificial Intelligence (AI) tools </w:t>
      </w:r>
      <w:r w:rsidR="00FD67CE">
        <w:t xml:space="preserve">can </w:t>
      </w:r>
      <w:r w:rsidRPr="000D0EAE">
        <w:t>ease this burden by</w:t>
      </w:r>
      <w:r w:rsidR="00FD67CE">
        <w:t xml:space="preserve"> </w:t>
      </w:r>
      <w:r w:rsidRPr="000D0EAE">
        <w:t xml:space="preserve">prioritizing high-risk </w:t>
      </w:r>
      <w:proofErr w:type="gramStart"/>
      <w:r w:rsidRPr="000D0EAE">
        <w:t>cases, and</w:t>
      </w:r>
      <w:proofErr w:type="gramEnd"/>
      <w:r w:rsidRPr="000D0EAE">
        <w:t xml:space="preserve"> analyzing tissue more efficiently.</w:t>
      </w:r>
      <w:r w:rsidR="00FD67CE">
        <w:t xml:space="preserve"> However, these tools must be reliable (e.g., low false alarm rate) and clinically relevant.</w:t>
      </w:r>
    </w:p>
    <w:p w14:paraId="2CE19530" w14:textId="50576F13" w:rsidR="00835C19" w:rsidRDefault="007B084C" w:rsidP="00FC062F">
      <w:pPr>
        <w:pStyle w:val="BodyText"/>
        <w:spacing w:before="0"/>
        <w:ind w:left="0" w:right="187" w:firstLine="187"/>
      </w:pPr>
      <w:r w:rsidRPr="000D0EAE">
        <w:t>In this work, we present a</w:t>
      </w:r>
      <w:r w:rsidR="00FC062F">
        <w:t xml:space="preserve">n open source </w:t>
      </w:r>
      <w:r w:rsidRPr="000D0EAE">
        <w:t>software platform designed to automatically interpret and visualize digital pathology images</w:t>
      </w:r>
      <w:r w:rsidR="00FC062F">
        <w:t> </w:t>
      </w:r>
      <w:r w:rsidR="00C146EF">
        <w:fldChar w:fldCharType="begin"/>
      </w:r>
      <w:r w:rsidR="00C146EF">
        <w:instrText xml:space="preserve"> REF _Ref222251466 \r </w:instrText>
      </w:r>
      <w:r w:rsidR="00C146EF">
        <w:fldChar w:fldCharType="separate"/>
      </w:r>
      <w:r w:rsidR="00FD67CE">
        <w:t>[1]</w:t>
      </w:r>
      <w:r w:rsidR="00C146EF">
        <w:fldChar w:fldCharType="end"/>
      </w:r>
      <w:r w:rsidRPr="000D0EAE">
        <w:t>.</w:t>
      </w:r>
      <w:r w:rsidR="00FC062F">
        <w:t xml:space="preserve"> </w:t>
      </w:r>
      <w:r w:rsidRPr="000D0EAE">
        <w:t xml:space="preserve">Unlike "black box" end-to-end pipelines, this tool </w:t>
      </w:r>
      <w:r w:rsidR="00FC062F">
        <w:t xml:space="preserve">was </w:t>
      </w:r>
      <w:r w:rsidRPr="000D0EAE">
        <w:t xml:space="preserve">intentionally scoped to support interactive exploration and annotation review. It prioritizes high-risk images and enables </w:t>
      </w:r>
      <w:r w:rsidR="00692EC0">
        <w:t>pathologists</w:t>
      </w:r>
      <w:r w:rsidRPr="000D0EAE">
        <w:t xml:space="preserve"> to analyze predictions, compare expert annotations, and explore tissue structures to improve patient care.</w:t>
      </w:r>
      <w:r w:rsidR="00FC062F">
        <w:t xml:space="preserve"> It was designed to support integration of new tools and algorithms, and leverages state of the art in deep learning-based image classification.</w:t>
      </w:r>
    </w:p>
    <w:p w14:paraId="644C47DE" w14:textId="57C52B0C" w:rsidR="007B084C" w:rsidRPr="00FC062F" w:rsidRDefault="007B084C" w:rsidP="0029167E">
      <w:pPr>
        <w:pStyle w:val="ListParagraph"/>
        <w:numPr>
          <w:ilvl w:val="0"/>
          <w:numId w:val="10"/>
        </w:numPr>
        <w:spacing w:after="100"/>
        <w:jc w:val="center"/>
        <w:rPr>
          <w:smallCaps/>
          <w:spacing w:val="-2"/>
          <w:sz w:val="16"/>
          <w:szCs w:val="16"/>
        </w:rPr>
      </w:pPr>
      <w:r w:rsidRPr="009E2443">
        <w:rPr>
          <w:smallCaps/>
          <w:spacing w:val="-2"/>
          <w:sz w:val="16"/>
          <w:szCs w:val="16"/>
        </w:rPr>
        <w:t>DATA</w:t>
      </w:r>
      <w:r w:rsidR="00FC062F">
        <w:rPr>
          <w:smallCaps/>
          <w:spacing w:val="-2"/>
          <w:sz w:val="16"/>
          <w:szCs w:val="16"/>
        </w:rPr>
        <w:t>SETS</w:t>
      </w:r>
    </w:p>
    <w:p w14:paraId="29A6C68B" w14:textId="30D3AA06" w:rsidR="00FC062F" w:rsidRPr="00FC062F" w:rsidRDefault="00296CBF" w:rsidP="00FC062F">
      <w:pPr>
        <w:pStyle w:val="BodyText"/>
        <w:spacing w:before="0"/>
        <w:ind w:left="0" w:right="182" w:firstLine="180"/>
      </w:pPr>
      <w:r w:rsidRPr="00296CBF">
        <w:t>A key differentiator of our system is the use of two robust open</w:t>
      </w:r>
      <w:r w:rsidR="00FD67CE">
        <w:t xml:space="preserve"> </w:t>
      </w:r>
      <w:r w:rsidRPr="00296CBF">
        <w:t>source digital pathology datasets</w:t>
      </w:r>
      <w:r w:rsidR="00E37290">
        <w:t> </w:t>
      </w:r>
      <w:r w:rsidR="00C146EF">
        <w:fldChar w:fldCharType="begin"/>
      </w:r>
      <w:r w:rsidR="00C146EF">
        <w:instrText xml:space="preserve"> REF _Ref222401904 \n </w:instrText>
      </w:r>
      <w:r w:rsidR="00C146EF">
        <w:fldChar w:fldCharType="separate"/>
      </w:r>
      <w:r w:rsidR="00FD67CE">
        <w:t>[2]</w:t>
      </w:r>
      <w:r w:rsidR="00C146EF">
        <w:fldChar w:fldCharType="end"/>
      </w:r>
      <w:r w:rsidR="00E37290">
        <w:t xml:space="preserve"> </w:t>
      </w:r>
      <w:r w:rsidRPr="00296CBF">
        <w:t xml:space="preserve">to train the inference models. </w:t>
      </w:r>
      <w:r w:rsidR="00FD67CE">
        <w:t xml:space="preserve">These datasets are among the largest annotated collections of pathology slides in the world. </w:t>
      </w:r>
      <w:r w:rsidRPr="00296CBF">
        <w:t>To ensure clinical relevance and computational efficiency, we leverage these extensive data resources alongside optimized deep learning architectures.</w:t>
      </w:r>
      <w:r w:rsidR="00F009ED">
        <w:t xml:space="preserve"> </w:t>
      </w:r>
      <w:r w:rsidR="007B084C">
        <w:t xml:space="preserve">The models were trained using </w:t>
      </w:r>
      <w:r w:rsidR="00F009ED">
        <w:t>two open source resources: (1) </w:t>
      </w:r>
      <w:r w:rsidR="007B084C">
        <w:t xml:space="preserve">the Temple University Hospital Digital Pathology Breast Tissue Subset (TUBR) and </w:t>
      </w:r>
      <w:r w:rsidR="00F009ED">
        <w:t>(2) </w:t>
      </w:r>
      <w:r w:rsidR="007B084C">
        <w:t>the Fox Chase Cancer Center Digital Pathology Breast Tissue Subset (FCBR).</w:t>
      </w:r>
      <w:r w:rsidR="00F009ED">
        <w:t xml:space="preserve"> </w:t>
      </w:r>
      <w:r w:rsidR="007B084C">
        <w:t>TUBR</w:t>
      </w:r>
      <w:r w:rsidR="00F009ED">
        <w:t xml:space="preserve"> consists of </w:t>
      </w:r>
      <w:r w:rsidR="007B084C">
        <w:t>3,505 high-resolution images from 296 patients, representing a diverse range of tissue types including normal, benign, and pre-cancerous lesion</w:t>
      </w:r>
      <w:r w:rsidR="00F009ED">
        <w:t xml:space="preserve">s. </w:t>
      </w:r>
      <w:r w:rsidR="007B084C">
        <w:t>FCBR</w:t>
      </w:r>
      <w:r w:rsidR="00F009ED">
        <w:t xml:space="preserve"> consists of </w:t>
      </w:r>
      <w:r w:rsidR="007B084C">
        <w:t>1,463 oncology-focused slides from 1,397 patients, providing a rich source of invasive ductal carcinoma</w:t>
      </w:r>
      <w:r w:rsidR="0029167E">
        <w:t xml:space="preserve"> </w:t>
      </w:r>
      <w:r w:rsidR="007B084C">
        <w:t>examples</w:t>
      </w:r>
      <w:r w:rsidR="00692EC0">
        <w:t>.</w:t>
      </w:r>
    </w:p>
    <w:p w14:paraId="7BF8C0B6" w14:textId="4471AE65" w:rsidR="007B084C" w:rsidRPr="00BF281F" w:rsidRDefault="00824A69" w:rsidP="00BF281F">
      <w:pPr>
        <w:pStyle w:val="ListParagraph"/>
        <w:numPr>
          <w:ilvl w:val="0"/>
          <w:numId w:val="10"/>
        </w:numPr>
        <w:spacing w:before="200" w:after="100"/>
        <w:jc w:val="center"/>
        <w:rPr>
          <w:smallCaps/>
          <w:spacing w:val="-2"/>
          <w:sz w:val="16"/>
          <w:szCs w:val="16"/>
        </w:rPr>
      </w:pPr>
      <w:r>
        <w:rPr>
          <w:smallCaps/>
          <w:spacing w:val="-2"/>
          <w:sz w:val="16"/>
          <w:szCs w:val="16"/>
        </w:rPr>
        <w:t>MODEL ARCHITECTURES</w:t>
      </w:r>
    </w:p>
    <w:p w14:paraId="6AD77011" w14:textId="550F631E" w:rsidR="00F659AE" w:rsidRDefault="007B084C" w:rsidP="004C4305">
      <w:pPr>
        <w:pStyle w:val="BodyText"/>
        <w:spacing w:before="0"/>
        <w:ind w:left="0" w:right="187" w:firstLine="187"/>
      </w:pPr>
      <w:r>
        <w:t xml:space="preserve">To ensure the software is adaptable to different computational constraints, we trained and evaluated </w:t>
      </w:r>
      <w:r w:rsidR="00BF281F">
        <w:t xml:space="preserve">our system on </w:t>
      </w:r>
      <w:r>
        <w:t xml:space="preserve">multiple </w:t>
      </w:r>
      <w:r w:rsidR="00BF281F">
        <w:t xml:space="preserve">popular image processing </w:t>
      </w:r>
      <w:r>
        <w:t>architectures</w:t>
      </w:r>
      <w:r w:rsidR="00BF281F">
        <w:t xml:space="preserve">: </w:t>
      </w:r>
      <w:r>
        <w:t>ResNet-18</w:t>
      </w:r>
      <w:r w:rsidR="00BF281F">
        <w:t> </w:t>
      </w:r>
      <w:r w:rsidR="00C146EF">
        <w:fldChar w:fldCharType="begin"/>
      </w:r>
      <w:r w:rsidR="00C146EF">
        <w:instrText xml:space="preserve"> REF _Ref222401529 \n </w:instrText>
      </w:r>
      <w:r w:rsidR="00C146EF">
        <w:fldChar w:fldCharType="separate"/>
      </w:r>
      <w:r w:rsidR="00FD67CE">
        <w:t>[3]</w:t>
      </w:r>
      <w:r w:rsidR="00C146EF">
        <w:fldChar w:fldCharType="end"/>
      </w:r>
      <w:r>
        <w:t>,</w:t>
      </w:r>
      <w:r w:rsidR="00BF281F">
        <w:t xml:space="preserve"> </w:t>
      </w:r>
      <w:r>
        <w:t>EfficientNet</w:t>
      </w:r>
      <w:r w:rsidR="00BF281F">
        <w:t> </w:t>
      </w:r>
      <w:r>
        <w:t>(B0-B7)</w:t>
      </w:r>
      <w:r w:rsidR="00BF281F">
        <w:t> </w:t>
      </w:r>
      <w:r w:rsidR="00C146EF">
        <w:fldChar w:fldCharType="begin"/>
      </w:r>
      <w:r w:rsidR="00C146EF">
        <w:instrText xml:space="preserve"> REF _Ref222401554 \n </w:instrText>
      </w:r>
      <w:r w:rsidR="00C146EF">
        <w:fldChar w:fldCharType="separate"/>
      </w:r>
      <w:r w:rsidR="00FD67CE">
        <w:t>[4]</w:t>
      </w:r>
      <w:r w:rsidR="00C146EF">
        <w:fldChar w:fldCharType="end"/>
      </w:r>
      <w:r>
        <w:t xml:space="preserve">, </w:t>
      </w:r>
      <w:r w:rsidR="00E10916">
        <w:t xml:space="preserve">and </w:t>
      </w:r>
      <w:r>
        <w:t>Vision Trans</w:t>
      </w:r>
      <w:r w:rsidR="00BF281F">
        <w:t>-</w:t>
      </w:r>
      <w:r>
        <w:t>formers</w:t>
      </w:r>
      <w:r w:rsidR="00BF281F">
        <w:t> </w:t>
      </w:r>
      <w:r>
        <w:t>(ViT-16/32)</w:t>
      </w:r>
      <w:r w:rsidR="00BF281F">
        <w:t> </w:t>
      </w:r>
      <w:r w:rsidR="00C146EF">
        <w:fldChar w:fldCharType="begin"/>
      </w:r>
      <w:r w:rsidR="00C146EF">
        <w:instrText xml:space="preserve"> REF _Ref222401582 \n </w:instrText>
      </w:r>
      <w:r w:rsidR="00C146EF">
        <w:fldChar w:fldCharType="separate"/>
      </w:r>
      <w:r w:rsidR="00FD67CE">
        <w:t>[5]</w:t>
      </w:r>
      <w:r w:rsidR="00C146EF">
        <w:fldChar w:fldCharType="end"/>
      </w:r>
      <w:r w:rsidR="00E10916">
        <w:t>.</w:t>
      </w:r>
    </w:p>
    <w:p w14:paraId="3F71FFDF" w14:textId="3E0B9EE2" w:rsidR="00F659AE" w:rsidRDefault="00E37290" w:rsidP="00F659AE">
      <w:pPr>
        <w:pStyle w:val="BodyText"/>
        <w:spacing w:before="0" w:after="100"/>
        <w:ind w:left="0" w:right="187"/>
      </w:pPr>
      <w:r>
        <w:rPr>
          <w:noProof/>
        </w:rPr>
        <w:lastRenderedPageBreak/>
        <mc:AlternateContent>
          <mc:Choice Requires="wps">
            <w:drawing>
              <wp:anchor distT="137160" distB="137160" distL="0" distR="0" simplePos="0" relativeHeight="251663872" behindDoc="0" locked="0" layoutInCell="1" allowOverlap="1" wp14:anchorId="3FF832EC" wp14:editId="6593D2CC">
                <wp:simplePos x="0" y="0"/>
                <wp:positionH relativeFrom="margin">
                  <wp:align>left</wp:align>
                </wp:positionH>
                <wp:positionV relativeFrom="margin">
                  <wp:align>bottom</wp:align>
                </wp:positionV>
                <wp:extent cx="3145536" cy="1911096"/>
                <wp:effectExtent l="0" t="0" r="4445" b="0"/>
                <wp:wrapSquare wrapText="bothSides"/>
                <wp:docPr id="1981128740" name="Text Box 3"/>
                <wp:cNvGraphicFramePr/>
                <a:graphic xmlns:a="http://schemas.openxmlformats.org/drawingml/2006/main">
                  <a:graphicData uri="http://schemas.microsoft.com/office/word/2010/wordprocessingShape">
                    <wps:wsp>
                      <wps:cNvSpPr txBox="1"/>
                      <wps:spPr>
                        <a:xfrm>
                          <a:off x="0" y="0"/>
                          <a:ext cx="3145536" cy="1911096"/>
                        </a:xfrm>
                        <a:prstGeom prst="rect">
                          <a:avLst/>
                        </a:prstGeom>
                        <a:solidFill>
                          <a:schemeClr val="lt1"/>
                        </a:solidFill>
                        <a:ln w="6350">
                          <a:noFill/>
                        </a:ln>
                      </wps:spPr>
                      <wps:txbx>
                        <w:txbxContent>
                          <w:p w14:paraId="0EECAF97" w14:textId="77777777" w:rsidR="00E37290" w:rsidRDefault="00E37290" w:rsidP="00E37290">
                            <w:pPr>
                              <w:jc w:val="center"/>
                            </w:pPr>
                            <w:r>
                              <w:rPr>
                                <w:noProof/>
                              </w:rPr>
                              <w:drawing>
                                <wp:inline distT="0" distB="0" distL="0" distR="0" wp14:anchorId="16D986D7" wp14:editId="1EC2349C">
                                  <wp:extent cx="3067887" cy="1678910"/>
                                  <wp:effectExtent l="0" t="0" r="0" b="0"/>
                                  <wp:docPr id="567193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09287"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7887" cy="1678910"/>
                                          </a:xfrm>
                                          <a:prstGeom prst="rect">
                                            <a:avLst/>
                                          </a:prstGeom>
                                        </pic:spPr>
                                      </pic:pic>
                                    </a:graphicData>
                                  </a:graphic>
                                </wp:inline>
                              </w:drawing>
                            </w:r>
                          </w:p>
                          <w:p w14:paraId="2918F592" w14:textId="0DFD0C06" w:rsidR="00E37290" w:rsidRPr="00835C19" w:rsidRDefault="00E37290" w:rsidP="00E37290">
                            <w:pPr>
                              <w:pStyle w:val="Caption"/>
                              <w:spacing w:before="120" w:after="120"/>
                              <w:jc w:val="center"/>
                              <w:rPr>
                                <w:b/>
                                <w:i w:val="0"/>
                                <w:iCs w:val="0"/>
                                <w:noProof/>
                                <w:color w:val="000000" w:themeColor="text1"/>
                                <w:sz w:val="16"/>
                                <w:szCs w:val="16"/>
                              </w:rPr>
                            </w:pPr>
                            <w:bookmarkStart w:id="2" w:name="_Ref222402562"/>
                            <w:r w:rsidRPr="00835C19">
                              <w:rPr>
                                <w:i w:val="0"/>
                                <w:iCs w:val="0"/>
                                <w:color w:val="000000" w:themeColor="text1"/>
                                <w:sz w:val="16"/>
                                <w:szCs w:val="16"/>
                              </w:rPr>
                              <w:t>Figure</w:t>
                            </w:r>
                            <w:r w:rsidR="00996B2F">
                              <w:rPr>
                                <w:i w:val="0"/>
                                <w:iCs w:val="0"/>
                                <w:color w:val="000000" w:themeColor="text1"/>
                                <w:sz w:val="16"/>
                                <w:szCs w:val="16"/>
                              </w:rPr>
                              <w:t> </w:t>
                            </w:r>
                            <w:r w:rsidRPr="00835C19">
                              <w:rPr>
                                <w:i w:val="0"/>
                                <w:iCs w:val="0"/>
                                <w:color w:val="000000" w:themeColor="text1"/>
                                <w:sz w:val="16"/>
                                <w:szCs w:val="16"/>
                              </w:rPr>
                              <w:fldChar w:fldCharType="begin"/>
                            </w:r>
                            <w:r w:rsidRPr="00835C19">
                              <w:rPr>
                                <w:i w:val="0"/>
                                <w:iCs w:val="0"/>
                                <w:color w:val="000000" w:themeColor="text1"/>
                                <w:sz w:val="16"/>
                                <w:szCs w:val="16"/>
                              </w:rPr>
                              <w:instrText xml:space="preserve"> SEQ Figure \* ARABIC </w:instrText>
                            </w:r>
                            <w:r w:rsidRPr="00835C19">
                              <w:rPr>
                                <w:i w:val="0"/>
                                <w:iCs w:val="0"/>
                                <w:color w:val="000000" w:themeColor="text1"/>
                                <w:sz w:val="16"/>
                                <w:szCs w:val="16"/>
                              </w:rPr>
                              <w:fldChar w:fldCharType="separate"/>
                            </w:r>
                            <w:r w:rsidR="00FD67CE">
                              <w:rPr>
                                <w:i w:val="0"/>
                                <w:iCs w:val="0"/>
                                <w:noProof/>
                                <w:color w:val="000000" w:themeColor="text1"/>
                                <w:sz w:val="16"/>
                                <w:szCs w:val="16"/>
                              </w:rPr>
                              <w:t>2</w:t>
                            </w:r>
                            <w:r w:rsidRPr="00835C19">
                              <w:rPr>
                                <w:i w:val="0"/>
                                <w:iCs w:val="0"/>
                                <w:color w:val="000000" w:themeColor="text1"/>
                                <w:sz w:val="16"/>
                                <w:szCs w:val="16"/>
                              </w:rPr>
                              <w:fldChar w:fldCharType="end"/>
                            </w:r>
                            <w:bookmarkEnd w:id="2"/>
                            <w:r w:rsidRPr="00835C19">
                              <w:rPr>
                                <w:i w:val="0"/>
                                <w:iCs w:val="0"/>
                                <w:color w:val="000000" w:themeColor="text1"/>
                                <w:sz w:val="16"/>
                                <w:szCs w:val="16"/>
                              </w:rPr>
                              <w:t xml:space="preserve">. </w:t>
                            </w:r>
                            <w:r>
                              <w:rPr>
                                <w:i w:val="0"/>
                                <w:iCs w:val="0"/>
                                <w:color w:val="000000" w:themeColor="text1"/>
                                <w:sz w:val="16"/>
                                <w:szCs w:val="16"/>
                              </w:rPr>
                              <w:t>An overview of the digital pathology system workflow</w:t>
                            </w:r>
                          </w:p>
                          <w:p w14:paraId="3D91A0FB" w14:textId="77777777" w:rsidR="00E37290" w:rsidRDefault="00E37290" w:rsidP="00E3729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832EC" id="_x0000_s1027" type="#_x0000_t202" style="position:absolute;left:0;text-align:left;margin-left:0;margin-top:0;width:247.7pt;height:150.5pt;z-index:251663872;visibility:visible;mso-wrap-style:square;mso-width-percent:0;mso-height-percent:0;mso-wrap-distance-left:0;mso-wrap-distance-top:10.8pt;mso-wrap-distance-right:0;mso-wrap-distance-bottom:10.8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" fillcolor="white [3201]" stroked="f" strokeweight=".5pt">
                <v:textbox inset="0,0,0,0">
                  <w:txbxContent>
                    <w:p w14:paraId="0EECAF97" w14:textId="77777777" w:rsidR="00E37290" w:rsidRDefault="00E37290" w:rsidP="00E37290">
                      <w:pPr>
                        <w:jc w:val="center"/>
                      </w:pPr>
                      <w:r>
                        <w:rPr>
                          <w:noProof/>
                        </w:rPr>
                        <w:drawing>
                          <wp:inline distT="0" distB="0" distL="0" distR="0" wp14:anchorId="16D986D7" wp14:editId="1EC2349C">
                            <wp:extent cx="3067887" cy="1678910"/>
                            <wp:effectExtent l="0" t="0" r="0" b="0"/>
                            <wp:docPr id="567193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09287"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7887" cy="1678910"/>
                                    </a:xfrm>
                                    <a:prstGeom prst="rect">
                                      <a:avLst/>
                                    </a:prstGeom>
                                  </pic:spPr>
                                </pic:pic>
                              </a:graphicData>
                            </a:graphic>
                          </wp:inline>
                        </w:drawing>
                      </w:r>
                    </w:p>
                    <w:p w14:paraId="2918F592" w14:textId="0DFD0C06" w:rsidR="00E37290" w:rsidRPr="00835C19" w:rsidRDefault="00E37290" w:rsidP="00E37290">
                      <w:pPr>
                        <w:pStyle w:val="Caption"/>
                        <w:spacing w:before="120" w:after="120"/>
                        <w:jc w:val="center"/>
                        <w:rPr>
                          <w:b/>
                          <w:i w:val="0"/>
                          <w:iCs w:val="0"/>
                          <w:noProof/>
                          <w:color w:val="000000" w:themeColor="text1"/>
                          <w:sz w:val="16"/>
                          <w:szCs w:val="16"/>
                        </w:rPr>
                      </w:pPr>
                      <w:bookmarkStart w:id="3" w:name="_Ref222402562"/>
                      <w:r w:rsidRPr="00835C19">
                        <w:rPr>
                          <w:i w:val="0"/>
                          <w:iCs w:val="0"/>
                          <w:color w:val="000000" w:themeColor="text1"/>
                          <w:sz w:val="16"/>
                          <w:szCs w:val="16"/>
                        </w:rPr>
                        <w:t>Figure</w:t>
                      </w:r>
                      <w:r w:rsidR="00996B2F">
                        <w:rPr>
                          <w:i w:val="0"/>
                          <w:iCs w:val="0"/>
                          <w:color w:val="000000" w:themeColor="text1"/>
                          <w:sz w:val="16"/>
                          <w:szCs w:val="16"/>
                        </w:rPr>
                        <w:t> </w:t>
                      </w:r>
                      <w:r w:rsidRPr="00835C19">
                        <w:rPr>
                          <w:i w:val="0"/>
                          <w:iCs w:val="0"/>
                          <w:color w:val="000000" w:themeColor="text1"/>
                          <w:sz w:val="16"/>
                          <w:szCs w:val="16"/>
                        </w:rPr>
                        <w:fldChar w:fldCharType="begin"/>
                      </w:r>
                      <w:r w:rsidRPr="00835C19">
                        <w:rPr>
                          <w:i w:val="0"/>
                          <w:iCs w:val="0"/>
                          <w:color w:val="000000" w:themeColor="text1"/>
                          <w:sz w:val="16"/>
                          <w:szCs w:val="16"/>
                        </w:rPr>
                        <w:instrText xml:space="preserve"> SEQ Figure \* ARABIC </w:instrText>
                      </w:r>
                      <w:r w:rsidRPr="00835C19">
                        <w:rPr>
                          <w:i w:val="0"/>
                          <w:iCs w:val="0"/>
                          <w:color w:val="000000" w:themeColor="text1"/>
                          <w:sz w:val="16"/>
                          <w:szCs w:val="16"/>
                        </w:rPr>
                        <w:fldChar w:fldCharType="separate"/>
                      </w:r>
                      <w:r w:rsidR="00FD67CE">
                        <w:rPr>
                          <w:i w:val="0"/>
                          <w:iCs w:val="0"/>
                          <w:noProof/>
                          <w:color w:val="000000" w:themeColor="text1"/>
                          <w:sz w:val="16"/>
                          <w:szCs w:val="16"/>
                        </w:rPr>
                        <w:t>2</w:t>
                      </w:r>
                      <w:r w:rsidRPr="00835C19">
                        <w:rPr>
                          <w:i w:val="0"/>
                          <w:iCs w:val="0"/>
                          <w:color w:val="000000" w:themeColor="text1"/>
                          <w:sz w:val="16"/>
                          <w:szCs w:val="16"/>
                        </w:rPr>
                        <w:fldChar w:fldCharType="end"/>
                      </w:r>
                      <w:bookmarkEnd w:id="3"/>
                      <w:r w:rsidRPr="00835C19">
                        <w:rPr>
                          <w:i w:val="0"/>
                          <w:iCs w:val="0"/>
                          <w:color w:val="000000" w:themeColor="text1"/>
                          <w:sz w:val="16"/>
                          <w:szCs w:val="16"/>
                        </w:rPr>
                        <w:t xml:space="preserve">. </w:t>
                      </w:r>
                      <w:r>
                        <w:rPr>
                          <w:i w:val="0"/>
                          <w:iCs w:val="0"/>
                          <w:color w:val="000000" w:themeColor="text1"/>
                          <w:sz w:val="16"/>
                          <w:szCs w:val="16"/>
                        </w:rPr>
                        <w:t>An overview of the digital pathology system workflow</w:t>
                      </w:r>
                    </w:p>
                    <w:p w14:paraId="3D91A0FB" w14:textId="77777777" w:rsidR="00E37290" w:rsidRDefault="00E37290" w:rsidP="00E37290"/>
                  </w:txbxContent>
                </v:textbox>
                <w10:wrap type="square" anchorx="margin" anchory="margin"/>
              </v:shape>
            </w:pict>
          </mc:Fallback>
        </mc:AlternateContent>
      </w:r>
      <w:r w:rsidR="007B084C">
        <w:t>Extensive experiments</w:t>
      </w:r>
      <w:r w:rsidR="00BF281F">
        <w:t> </w:t>
      </w:r>
      <w:r w:rsidR="00BF281F">
        <w:fldChar w:fldCharType="begin"/>
      </w:r>
      <w:r w:rsidR="00BF281F">
        <w:instrText xml:space="preserve"> REF _Ref222401800 \n </w:instrText>
      </w:r>
      <w:r w:rsidR="00F659AE">
        <w:instrText xml:space="preserve"> \* MERGEFORMAT </w:instrText>
      </w:r>
      <w:r w:rsidR="00BF281F">
        <w:fldChar w:fldCharType="separate"/>
      </w:r>
      <w:r w:rsidR="00FD67CE">
        <w:t>[1]</w:t>
      </w:r>
      <w:r w:rsidR="00BF281F">
        <w:fldChar w:fldCharType="end"/>
      </w:r>
      <w:r>
        <w:t xml:space="preserve"> </w:t>
      </w:r>
      <w:r w:rsidR="007B084C">
        <w:t>demonstrated that while</w:t>
      </w:r>
      <w:r>
        <w:t xml:space="preserve"> the </w:t>
      </w:r>
      <w:r w:rsidR="007B084C">
        <w:t xml:space="preserve"> transformer-based </w:t>
      </w:r>
      <w:r w:rsidR="0068180B">
        <w:t>architecture</w:t>
      </w:r>
      <w:r w:rsidR="007B084C">
        <w:t xml:space="preserve"> (ViT) and larger CNNs (EB7) offer strong theoretical performance, they incur significant computational costs. For the interactive system, we selected</w:t>
      </w:r>
      <w:r>
        <w:t xml:space="preserve"> </w:t>
      </w:r>
      <w:r w:rsidR="007B084C">
        <w:t>EB0</w:t>
      </w:r>
      <w:r>
        <w:t xml:space="preserve"> </w:t>
      </w:r>
      <w:r w:rsidR="007B084C">
        <w:t>as the default engine. Complexity analysis shows that EB0, with approximately 5.3</w:t>
      </w:r>
      <w:r>
        <w:t xml:space="preserve">M </w:t>
      </w:r>
      <w:r w:rsidR="007B084C">
        <w:t xml:space="preserve">parameters, provides a decoding time 1.7x faster than ResNet-18 while maintaining competitive accuracy. However, the software’s modular design allows researchers to easily swap in our trained </w:t>
      </w:r>
      <w:r>
        <w:t>ResNet and ViT models. We also explored the use of a SWIN model </w:t>
      </w:r>
      <w:r>
        <w:fldChar w:fldCharType="begin"/>
      </w:r>
      <w:r>
        <w:instrText xml:space="preserve"> REF _Ref222402135 \n </w:instrText>
      </w:r>
      <w:r w:rsidR="00F659AE">
        <w:instrText xml:space="preserve"> \* MERGEFORMAT </w:instrText>
      </w:r>
      <w:r>
        <w:fldChar w:fldCharType="separate"/>
      </w:r>
      <w:r w:rsidR="00FD67CE">
        <w:t>[6]</w:t>
      </w:r>
      <w:r>
        <w:fldChar w:fldCharType="end"/>
      </w:r>
      <w:r>
        <w:t>, but results were inconclusive.</w:t>
      </w:r>
    </w:p>
    <w:p w14:paraId="6FD64314" w14:textId="70BA8AF6" w:rsidR="004C4305" w:rsidRPr="00F659AE" w:rsidRDefault="007B084C" w:rsidP="00F659AE">
      <w:pPr>
        <w:pStyle w:val="ListParagraph"/>
        <w:numPr>
          <w:ilvl w:val="0"/>
          <w:numId w:val="10"/>
        </w:numPr>
        <w:spacing w:before="200" w:after="100"/>
        <w:jc w:val="center"/>
        <w:rPr>
          <w:smallCaps/>
          <w:spacing w:val="-2"/>
          <w:sz w:val="16"/>
          <w:szCs w:val="16"/>
        </w:rPr>
      </w:pPr>
      <w:r w:rsidRPr="00F659AE">
        <w:rPr>
          <w:smallCaps/>
          <w:spacing w:val="-2"/>
          <w:sz w:val="16"/>
          <w:szCs w:val="16"/>
        </w:rPr>
        <w:t>SYSTEM WORKFLOW</w:t>
      </w:r>
    </w:p>
    <w:p w14:paraId="4B7ED7DA" w14:textId="6AFDF3C7" w:rsidR="00C122E8" w:rsidRPr="00221CA3" w:rsidRDefault="007B084C" w:rsidP="004C4305">
      <w:pPr>
        <w:pStyle w:val="BodyText"/>
        <w:spacing w:before="0" w:after="100"/>
        <w:ind w:left="0" w:right="187"/>
      </w:pPr>
      <w:r w:rsidRPr="006A1803">
        <w:t xml:space="preserve">The automated interpretation system follows a sequential </w:t>
      </w:r>
      <w:r>
        <w:t xml:space="preserve">   </w:t>
      </w:r>
      <w:r w:rsidRPr="006A1803">
        <w:t xml:space="preserve">four-module workflow: </w:t>
      </w:r>
      <w:r w:rsidR="00E37290">
        <w:t>p</w:t>
      </w:r>
      <w:r w:rsidRPr="006A1803">
        <w:t xml:space="preserve">reprocessing, </w:t>
      </w:r>
      <w:r w:rsidR="00E37290">
        <w:t>d</w:t>
      </w:r>
      <w:r w:rsidRPr="006A1803">
        <w:t xml:space="preserve">ecoding, </w:t>
      </w:r>
      <w:r w:rsidR="00E37290">
        <w:t>p</w:t>
      </w:r>
      <w:r w:rsidRPr="006A1803">
        <w:t xml:space="preserve">ost-processing, and </w:t>
      </w:r>
      <w:r w:rsidR="00E37290">
        <w:t>v</w:t>
      </w:r>
      <w:r w:rsidRPr="006A1803">
        <w:t>isualization.</w:t>
      </w:r>
      <w:r w:rsidR="00E37290">
        <w:t xml:space="preserve"> An overview </w:t>
      </w:r>
      <w:r w:rsidR="00996B2F">
        <w:t xml:space="preserve">of the system is given in </w:t>
      </w:r>
      <w:fldSimple w:instr=" REF _Ref222402562  \* MERGEFORMAT ">
        <w:r w:rsidR="00FD67CE" w:rsidRPr="00FD67CE">
          <w:t>Figure 2</w:t>
        </w:r>
      </w:fldSimple>
      <w:r w:rsidR="004C4305">
        <w:t>:</w:t>
      </w:r>
    </w:p>
    <w:p w14:paraId="4CE8CCE4" w14:textId="6B2F63C3" w:rsidR="00E64B62" w:rsidRDefault="007B084C" w:rsidP="00E63593">
      <w:pPr>
        <w:pStyle w:val="BodyText"/>
        <w:spacing w:before="0" w:after="100"/>
        <w:ind w:left="0" w:right="187"/>
      </w:pPr>
      <w:r w:rsidRPr="004C4305">
        <w:rPr>
          <w:b/>
          <w:bCs/>
        </w:rPr>
        <w:t>Preprocessing</w:t>
      </w:r>
      <w:r w:rsidR="00221CA3" w:rsidRPr="004C4305">
        <w:rPr>
          <w:b/>
          <w:bCs/>
        </w:rPr>
        <w:t xml:space="preserve">: </w:t>
      </w:r>
      <w:r>
        <w:t xml:space="preserve">Before generating predictions, each </w:t>
      </w:r>
      <w:r w:rsidR="0044787A">
        <w:t>w</w:t>
      </w:r>
      <w:r>
        <w:t>hol</w:t>
      </w:r>
      <w:r w:rsidR="0044787A">
        <w:t>e s</w:t>
      </w:r>
      <w:r>
        <w:t xml:space="preserve">lide </w:t>
      </w:r>
      <w:r w:rsidR="0044787A">
        <w:t>i</w:t>
      </w:r>
      <w:r>
        <w:t xml:space="preserve">mage (WSI) </w:t>
      </w:r>
      <w:r w:rsidR="0044787A">
        <w:t xml:space="preserve">begins with a </w:t>
      </w:r>
      <w:r>
        <w:t>preprocessing stage. Because WSIs are gigapixel</w:t>
      </w:r>
      <w:r w:rsidR="0044787A">
        <w:t>s</w:t>
      </w:r>
      <w:r>
        <w:t xml:space="preserve"> in scale, the system splits the whole image into smaller </w:t>
      </w:r>
      <m:oMath>
        <m:r>
          <w:rPr>
            <w:rFonts w:ascii="Cambria Math" w:hAnsi="Cambria Math"/>
            <w:sz w:val="18"/>
            <w:szCs w:val="18"/>
          </w:rPr>
          <m:t>1024×1024</m:t>
        </m:r>
      </m:oMath>
      <w:r w:rsidR="0044787A">
        <w:t xml:space="preserve"> </w:t>
      </w:r>
      <w:r>
        <w:t>image patches. This module includes an option to automatically normalize tissue</w:t>
      </w:r>
      <w:r w:rsidR="00E64B62" w:rsidRPr="00E64B62">
        <w:t xml:space="preserve"> </w:t>
      </w:r>
      <w:r w:rsidR="00E64B62">
        <w:t>regions by removing the white background, allowing the analysis to focus strictly on the tissue region.</w:t>
      </w:r>
    </w:p>
    <w:p w14:paraId="0F6F2E87" w14:textId="1FDE6C4D" w:rsidR="004C4305" w:rsidRDefault="004C4305" w:rsidP="00E63593">
      <w:pPr>
        <w:pStyle w:val="BodyText"/>
        <w:spacing w:before="0" w:after="100"/>
        <w:ind w:left="0" w:right="187"/>
      </w:pPr>
      <w:r w:rsidRPr="0044787A">
        <w:rPr>
          <w:b/>
          <w:bCs/>
        </w:rPr>
        <w:t>Decoding:</w:t>
      </w:r>
      <w:r>
        <w:t xml:space="preserve"> </w:t>
      </w:r>
      <w:r w:rsidR="0044787A">
        <w:t xml:space="preserve">We refer to the </w:t>
      </w:r>
      <w:r w:rsidR="00E64B62">
        <w:t>core inference engine</w:t>
      </w:r>
      <w:r w:rsidR="0044787A">
        <w:t xml:space="preserve"> as a decoder. </w:t>
      </w:r>
      <w:r w:rsidR="00E64B62">
        <w:t>Instead of processing the entire slide simultaneously, the system uses a sliding window approach. The AI model analyzes</w:t>
      </w:r>
      <w:r w:rsidR="0044787A">
        <w:t xml:space="preserve"> </w:t>
      </w:r>
      <w:r w:rsidR="00E64B62">
        <w:t xml:space="preserve">normalized patches using </w:t>
      </w:r>
      <w:r w:rsidR="0044787A">
        <w:t xml:space="preserve">an EB0 </w:t>
      </w:r>
      <w:r w:rsidR="00E64B62">
        <w:t>model</w:t>
      </w:r>
      <w:r w:rsidR="00E10916">
        <w:t>.</w:t>
      </w:r>
      <w:r w:rsidR="00E64B62">
        <w:t xml:space="preserve"> This model was trained to recognize specific histological features</w:t>
      </w:r>
      <w:r w:rsidR="0044787A">
        <w:t> </w:t>
      </w:r>
      <w:r w:rsidR="00C146EF">
        <w:fldChar w:fldCharType="begin"/>
      </w:r>
      <w:r w:rsidR="00C146EF">
        <w:instrText xml:space="preserve"> REF _Ref222401800 \n </w:instrText>
      </w:r>
      <w:r w:rsidR="00C146EF">
        <w:fldChar w:fldCharType="separate"/>
      </w:r>
      <w:r w:rsidR="00FD67CE">
        <w:t>[1]</w:t>
      </w:r>
      <w:r w:rsidR="00C146EF">
        <w:fldChar w:fldCharType="end"/>
      </w:r>
      <w:r w:rsidR="00E64B62">
        <w:t xml:space="preserve">, including </w:t>
      </w:r>
      <w:r w:rsidR="0044787A">
        <w:t>n</w:t>
      </w:r>
      <w:r w:rsidR="00E64B62">
        <w:t>ormal ducts</w:t>
      </w:r>
      <w:r w:rsidR="0044787A">
        <w:t> </w:t>
      </w:r>
      <w:r w:rsidR="00E64B62">
        <w:t xml:space="preserve">(NORM), </w:t>
      </w:r>
      <w:r w:rsidR="0044787A">
        <w:t>d</w:t>
      </w:r>
      <w:r w:rsidR="00E64B62">
        <w:t xml:space="preserve">uctal </w:t>
      </w:r>
      <w:r w:rsidR="0044787A">
        <w:t>c</w:t>
      </w:r>
      <w:r w:rsidR="00E64B62">
        <w:t xml:space="preserve">arcinoma in </w:t>
      </w:r>
      <w:r w:rsidR="0044787A">
        <w:t>s</w:t>
      </w:r>
      <w:r w:rsidR="00E64B62">
        <w:t>itu (DCIS),</w:t>
      </w:r>
      <w:r w:rsidR="0044787A">
        <w:t xml:space="preserve"> i</w:t>
      </w:r>
      <w:r w:rsidR="00E64B62">
        <w:t xml:space="preserve">nvasive </w:t>
      </w:r>
      <w:r w:rsidR="0044787A">
        <w:t>d</w:t>
      </w:r>
      <w:r w:rsidR="00E64B62">
        <w:t xml:space="preserve">uctal </w:t>
      </w:r>
      <w:r w:rsidR="0044787A">
        <w:t>c</w:t>
      </w:r>
      <w:r w:rsidR="00E64B62">
        <w:t>arcinoma</w:t>
      </w:r>
      <w:r w:rsidR="0044787A">
        <w:t> </w:t>
      </w:r>
      <w:r w:rsidR="00E64B62">
        <w:t xml:space="preserve">(INDC), </w:t>
      </w:r>
      <w:r w:rsidR="0044787A">
        <w:t>n</w:t>
      </w:r>
      <w:r w:rsidR="00E64B62">
        <w:t>on-</w:t>
      </w:r>
      <w:r w:rsidR="0044787A">
        <w:t>n</w:t>
      </w:r>
      <w:r w:rsidR="00E64B62">
        <w:t>eoplastic</w:t>
      </w:r>
      <w:r w:rsidR="0044787A">
        <w:t> </w:t>
      </w:r>
      <w:r w:rsidR="00E64B62">
        <w:t>(NNEO) lesions</w:t>
      </w:r>
      <w:r w:rsidR="0068180B">
        <w:t xml:space="preserve"> </w:t>
      </w:r>
      <w:r w:rsidR="0068180B" w:rsidRPr="0068180B">
        <w:t xml:space="preserve">and </w:t>
      </w:r>
      <w:r w:rsidR="0044787A">
        <w:t>b</w:t>
      </w:r>
      <w:r w:rsidR="0068180B" w:rsidRPr="0068180B">
        <w:t>ackground</w:t>
      </w:r>
      <w:r w:rsidR="00E64B62">
        <w:t xml:space="preserve">. The frame-level predictions are generated using a specific window size (e.g., </w:t>
      </w:r>
      <m:oMath>
        <m:r>
          <w:rPr>
            <w:rFonts w:ascii="Cambria Math" w:hAnsi="Cambria Math"/>
            <w:sz w:val="18"/>
            <w:szCs w:val="18"/>
          </w:rPr>
          <m:t>1024×1024</m:t>
        </m:r>
      </m:oMath>
      <w:r w:rsidR="00E64B62">
        <w:t xml:space="preserve">) that was empirically determined to provide </w:t>
      </w:r>
      <w:r w:rsidR="0044787A">
        <w:t xml:space="preserve">an </w:t>
      </w:r>
      <w:r w:rsidR="00E64B62">
        <w:t>optimal balance of spatial context and localization accuracy</w:t>
      </w:r>
      <w:r w:rsidR="00961C62">
        <w:t>.</w:t>
      </w:r>
    </w:p>
    <w:p w14:paraId="2445A38C" w14:textId="1F0730BE" w:rsidR="004C4305" w:rsidRDefault="004C4305" w:rsidP="00E63593">
      <w:pPr>
        <w:pStyle w:val="BodyText"/>
        <w:spacing w:before="0" w:after="100"/>
        <w:ind w:left="0" w:right="187"/>
      </w:pPr>
      <w:r w:rsidRPr="0044787A">
        <w:rPr>
          <w:b/>
          <w:bCs/>
        </w:rPr>
        <w:t>Post-processing:</w:t>
      </w:r>
      <w:r>
        <w:t xml:space="preserve"> </w:t>
      </w:r>
      <w:r w:rsidR="00E64B62">
        <w:t xml:space="preserve">The </w:t>
      </w:r>
      <w:r w:rsidR="00C74DA2" w:rsidRPr="00C74DA2">
        <w:t>AI model generates predictions at the frame level, which often appear as scattered, independent predictions that lack spatial continuity. In the post-processing phase, these raw frame outputs are mapped back to the original slide coordinates</w:t>
      </w:r>
      <w:r w:rsidR="00E64B62">
        <w:t xml:space="preserve">. </w:t>
      </w:r>
      <w:r w:rsidR="00C74DA2" w:rsidRPr="00C74DA2">
        <w:t xml:space="preserve">We implemented and compared several algorithms to aggregate these frames, including Label Priority, Confidence Priority, and k-Nearest Neighbors (kNN) </w:t>
      </w:r>
      <w:r w:rsidR="00C74DA2" w:rsidRPr="00C74DA2">
        <w:t xml:space="preserve">smoothing. Our internal benchmarks indicated that kNN Smoothing achieved the highest performance (MDICE scores of </w:t>
      </w:r>
      <w:r w:rsidR="00E63593">
        <w:t>25.5</w:t>
      </w:r>
      <w:r w:rsidR="00C74DA2" w:rsidRPr="00C74DA2">
        <w:t>% on TUBR), effectively refining local inconsistencies and producing coherent polygonal regions for visualization. This algorithm updates a label based on the consensus of the most similar neighbors within a local window, ensuring smoother, more accurate boundaries</w:t>
      </w:r>
      <w:r w:rsidR="00961C62">
        <w:t>.</w:t>
      </w:r>
    </w:p>
    <w:p w14:paraId="63C4909B" w14:textId="43F4B871" w:rsidR="0032468F" w:rsidRDefault="00C74DA2" w:rsidP="00E63593">
      <w:pPr>
        <w:pStyle w:val="BodyText"/>
        <w:spacing w:before="0" w:after="100"/>
        <w:ind w:left="0" w:right="187"/>
      </w:pPr>
      <w:r w:rsidRPr="00E63593">
        <w:rPr>
          <w:b/>
          <w:bCs/>
        </w:rPr>
        <w:t>Visualization</w:t>
      </w:r>
      <w:r w:rsidR="004C4305" w:rsidRPr="00E63593">
        <w:rPr>
          <w:b/>
          <w:bCs/>
        </w:rPr>
        <w:t xml:space="preserve">: </w:t>
      </w:r>
      <w:r w:rsidR="00114BFA" w:rsidRPr="00E63593">
        <w:t xml:space="preserve">The </w:t>
      </w:r>
      <w:r w:rsidR="00114BFA">
        <w:t>final component</w:t>
      </w:r>
      <w:r w:rsidR="00E63593">
        <w:t xml:space="preserve">, and perhaps the most interesting, </w:t>
      </w:r>
      <w:r w:rsidR="00114BFA">
        <w:t xml:space="preserve">is the </w:t>
      </w:r>
      <w:r w:rsidR="00E63593">
        <w:t>v</w:t>
      </w:r>
      <w:r w:rsidR="00114BFA">
        <w:t xml:space="preserve">isualization module, which provides an intuitive GUI for reviewing the AI's </w:t>
      </w:r>
      <w:r w:rsidR="00E63593">
        <w:t>“</w:t>
      </w:r>
      <w:r w:rsidR="00114BFA">
        <w:t>thought process.</w:t>
      </w:r>
      <w:r w:rsidR="00E63593">
        <w:t xml:space="preserve">” </w:t>
      </w:r>
      <w:r w:rsidR="0032468F" w:rsidRPr="0032468F">
        <w:t xml:space="preserve">To efficiently handle large </w:t>
      </w:r>
      <w:r w:rsidR="00E63593">
        <w:t xml:space="preserve">image files, which are in an SVS format, </w:t>
      </w:r>
      <w:r w:rsidR="0032468F" w:rsidRPr="0032468F">
        <w:t xml:space="preserve">the viewer loads a low-resolution thumbnail initially and dynamically streams high-resolution tiles as users zoom and pan. </w:t>
      </w:r>
      <w:r w:rsidR="00E63593">
        <w:t xml:space="preserve">The decoder output includes </w:t>
      </w:r>
      <w:r w:rsidR="0032468F" w:rsidRPr="0032468F">
        <w:t xml:space="preserve">a heat map </w:t>
      </w:r>
      <w:r w:rsidR="00E63593">
        <w:t xml:space="preserve">that </w:t>
      </w:r>
      <w:r w:rsidR="0032468F" w:rsidRPr="0032468F">
        <w:t>is displayed</w:t>
      </w:r>
      <w:r w:rsidR="00E63593">
        <w:t xml:space="preserve"> in the lower right of </w:t>
      </w:r>
      <w:fldSimple w:instr=" REF _Ref222427144  \* MERGEFORMAT ">
        <w:r w:rsidR="00FD67CE" w:rsidRPr="00FD67CE">
          <w:t>Figure 1</w:t>
        </w:r>
      </w:fldSimple>
      <w:r w:rsidR="00E63593">
        <w:t xml:space="preserve">. </w:t>
      </w:r>
      <w:r w:rsidR="0032468F" w:rsidRPr="0032468F">
        <w:t xml:space="preserve"> The system </w:t>
      </w:r>
      <w:r w:rsidR="00E63593">
        <w:t xml:space="preserve">also </w:t>
      </w:r>
      <w:r w:rsidR="0032468F" w:rsidRPr="0032468F">
        <w:t>provides a confidence bar on the right-hand side of the interface that quantifies prediction confidence.</w:t>
      </w:r>
      <w:r w:rsidR="00E63593">
        <w:t xml:space="preserve"> </w:t>
      </w:r>
      <w:r w:rsidR="0032468F" w:rsidRPr="0032468F">
        <w:t xml:space="preserve">This confidence logic </w:t>
      </w:r>
      <w:r w:rsidR="00E63593">
        <w:t xml:space="preserve">has been optimized to be </w:t>
      </w:r>
      <w:r w:rsidR="0032468F" w:rsidRPr="0032468F">
        <w:t xml:space="preserve">clinically </w:t>
      </w:r>
      <w:r w:rsidR="00E63593">
        <w:t xml:space="preserve">relevant. For </w:t>
      </w:r>
      <w:r w:rsidR="0032468F" w:rsidRPr="0032468F">
        <w:t>instance, DCIS receives the highest weight due to clinical risk, while non-neoplastic tissue receives the lowest.</w:t>
      </w:r>
    </w:p>
    <w:p w14:paraId="1E8AA6A2" w14:textId="34A417CE" w:rsidR="0032468F" w:rsidRDefault="0032468F" w:rsidP="00E63593">
      <w:pPr>
        <w:pStyle w:val="BodyText"/>
        <w:spacing w:before="0" w:after="100"/>
        <w:ind w:left="0" w:right="187" w:firstLine="187"/>
      </w:pPr>
      <w:r w:rsidRPr="0032468F">
        <w:t>The tool is specifically designed for hypothesis validation. Users can view the AI predictions (displayed as non-linear shapes) overlaid directly with ground-truth reference annotations (displayed as pen-shaped drawings). This layered view allows researchers to visually assess how well the model delineates complex histological boundaries</w:t>
      </w:r>
      <w:r w:rsidR="00E63593">
        <w:t>.</w:t>
      </w:r>
    </w:p>
    <w:p w14:paraId="44CBE9EB" w14:textId="1946119F" w:rsidR="00114BFA" w:rsidRPr="0099544E" w:rsidRDefault="00114BFA" w:rsidP="0099544E">
      <w:pPr>
        <w:pStyle w:val="ListParagraph"/>
        <w:numPr>
          <w:ilvl w:val="0"/>
          <w:numId w:val="10"/>
        </w:numPr>
        <w:spacing w:before="200" w:after="100"/>
        <w:jc w:val="center"/>
        <w:rPr>
          <w:smallCaps/>
          <w:spacing w:val="-2"/>
          <w:sz w:val="16"/>
          <w:szCs w:val="16"/>
        </w:rPr>
      </w:pPr>
      <w:r w:rsidRPr="0044787A">
        <w:rPr>
          <w:smallCaps/>
          <w:spacing w:val="-2"/>
          <w:sz w:val="16"/>
          <w:szCs w:val="16"/>
        </w:rPr>
        <w:t>CONCLUSION</w:t>
      </w:r>
      <w:r w:rsidR="00FD67CE">
        <w:rPr>
          <w:smallCaps/>
          <w:spacing w:val="-2"/>
          <w:sz w:val="16"/>
          <w:szCs w:val="16"/>
        </w:rPr>
        <w:t>S</w:t>
      </w:r>
    </w:p>
    <w:p w14:paraId="2ECFF73B" w14:textId="7458EFFE" w:rsidR="00E63593" w:rsidRPr="00A13373" w:rsidRDefault="00E63593" w:rsidP="00A13373">
      <w:pPr>
        <w:pStyle w:val="BodyText"/>
        <w:spacing w:before="0" w:after="100"/>
        <w:ind w:left="0" w:right="187" w:firstLine="187"/>
      </w:pPr>
      <w:r w:rsidRPr="00A13373">
        <w:t xml:space="preserve">This automatic interpretation system, which we refer to as the NEDC Digital Pathology (DPATH) Demo, </w:t>
      </w:r>
      <w:r w:rsidR="00114BFA" w:rsidRPr="00A13373">
        <w:t xml:space="preserve">combines high-resolution imaging with robust deep learning models trained on large-scale, diverse corpora. </w:t>
      </w:r>
      <w:r w:rsidRPr="00A13373">
        <w:t xml:space="preserve">The system leverages well-known deep learning models such as EB0, ResNet and ViT, and </w:t>
      </w:r>
      <w:r w:rsidR="00114BFA" w:rsidRPr="00A13373">
        <w:t>delivers high</w:t>
      </w:r>
      <w:r w:rsidR="00FD67CE">
        <w:t xml:space="preserve"> </w:t>
      </w:r>
      <w:r w:rsidR="00114BFA" w:rsidRPr="00A13373">
        <w:t>fidelity microsegmentation</w:t>
      </w:r>
      <w:r w:rsidRPr="00A13373">
        <w:t xml:space="preserve">s. Localization of information allows clinicians to </w:t>
      </w:r>
      <w:r w:rsidR="00114BFA" w:rsidRPr="00A13373">
        <w:t>spend less time searching and more time interpreting</w:t>
      </w:r>
      <w:r w:rsidR="00FD67CE">
        <w:t xml:space="preserve"> images and diagnosing diseases</w:t>
      </w:r>
      <w:r w:rsidR="00114BFA" w:rsidRPr="00A13373">
        <w:t>.</w:t>
      </w:r>
      <w:r w:rsidR="00FD67CE">
        <w:t xml:space="preserve"> Manual interpretation of such images is a time consuming and exhausting process. </w:t>
      </w:r>
      <w:r w:rsidRPr="00A13373">
        <w:t>Using a modified MDICE score described in</w:t>
      </w:r>
      <w:r>
        <w:t> </w:t>
      </w:r>
      <w:r>
        <w:fldChar w:fldCharType="begin"/>
      </w:r>
      <w:r>
        <w:instrText xml:space="preserve"> REF _Ref222401800 \n </w:instrText>
      </w:r>
      <w:r w:rsidR="00A13373">
        <w:instrText xml:space="preserve"> \* MERGEFORMAT </w:instrText>
      </w:r>
      <w:r>
        <w:fldChar w:fldCharType="separate"/>
      </w:r>
      <w:r w:rsidR="00FD67CE">
        <w:t>[1]</w:t>
      </w:r>
      <w:r>
        <w:fldChar w:fldCharType="end"/>
      </w:r>
      <w:r>
        <w:t xml:space="preserve">, we have achieved </w:t>
      </w:r>
      <w:r w:rsidRPr="00A13373">
        <w:t>a weighted error of 25.5% on TUBR and 25.0% on FCBR using an EB7 model. These are the first published results on these tasks</w:t>
      </w:r>
      <w:r w:rsidR="00A13373" w:rsidRPr="00A13373">
        <w:t>.</w:t>
      </w:r>
    </w:p>
    <w:p w14:paraId="039607DA" w14:textId="4003C116" w:rsidR="00114BFA" w:rsidRPr="00A13373" w:rsidRDefault="00114BFA" w:rsidP="002C5003">
      <w:pPr>
        <w:pStyle w:val="BodyText"/>
        <w:spacing w:before="0" w:after="100"/>
        <w:ind w:left="0" w:right="187"/>
        <w:rPr>
          <w:iCs/>
          <w:spacing w:val="-2"/>
        </w:rPr>
      </w:pPr>
      <w:r w:rsidRPr="0044787A">
        <w:rPr>
          <w:iCs/>
          <w:spacing w:val="-2"/>
        </w:rPr>
        <w:t>Th</w:t>
      </w:r>
      <w:r w:rsidR="00A13373">
        <w:rPr>
          <w:iCs/>
          <w:spacing w:val="-2"/>
        </w:rPr>
        <w:t xml:space="preserve">is system </w:t>
      </w:r>
      <w:r w:rsidRPr="0044787A">
        <w:rPr>
          <w:iCs/>
          <w:spacing w:val="-2"/>
        </w:rPr>
        <w:t xml:space="preserve">is open source and available </w:t>
      </w:r>
      <w:r w:rsidR="00AB63B3">
        <w:rPr>
          <w:iCs/>
          <w:spacing w:val="-2"/>
        </w:rPr>
        <w:t>at</w:t>
      </w:r>
      <w:r w:rsidR="002C5003">
        <w:rPr>
          <w:iCs/>
          <w:spacing w:val="-2"/>
        </w:rPr>
        <w:t xml:space="preserve"> the URL: </w:t>
      </w:r>
      <w:r w:rsidR="00AB63B3" w:rsidRPr="00AB63B3">
        <w:rPr>
          <w:i/>
          <w:spacing w:val="-2"/>
        </w:rPr>
        <w:t>www.nedcdata.org</w:t>
      </w:r>
      <w:r w:rsidR="00AB63B3">
        <w:rPr>
          <w:iCs/>
          <w:spacing w:val="-2"/>
        </w:rPr>
        <w:t xml:space="preserve">. </w:t>
      </w:r>
      <w:r w:rsidR="00A13373">
        <w:rPr>
          <w:iCs/>
          <w:spacing w:val="-2"/>
        </w:rPr>
        <w:t>To learn more</w:t>
      </w:r>
      <w:r w:rsidR="00AB63B3">
        <w:rPr>
          <w:iCs/>
          <w:spacing w:val="-2"/>
        </w:rPr>
        <w:t xml:space="preserve"> about our </w:t>
      </w:r>
      <w:r w:rsidR="0006236F">
        <w:rPr>
          <w:iCs/>
          <w:spacing w:val="-2"/>
        </w:rPr>
        <w:t>resources</w:t>
      </w:r>
      <w:r w:rsidR="00AB63B3">
        <w:rPr>
          <w:iCs/>
          <w:spacing w:val="-2"/>
        </w:rPr>
        <w:t xml:space="preserve">, </w:t>
      </w:r>
      <w:r w:rsidR="00A13373">
        <w:rPr>
          <w:iCs/>
          <w:spacing w:val="-2"/>
        </w:rPr>
        <w:t xml:space="preserve">follow the </w:t>
      </w:r>
      <w:r w:rsidR="00AB63B3">
        <w:rPr>
          <w:iCs/>
          <w:spacing w:val="-2"/>
        </w:rPr>
        <w:t xml:space="preserve">subscription </w:t>
      </w:r>
      <w:r w:rsidR="00A13373">
        <w:rPr>
          <w:iCs/>
          <w:spacing w:val="-2"/>
        </w:rPr>
        <w:t xml:space="preserve">instructions </w:t>
      </w:r>
      <w:r w:rsidR="00AB63B3">
        <w:rPr>
          <w:iCs/>
          <w:spacing w:val="-2"/>
        </w:rPr>
        <w:t>at this URL.</w:t>
      </w:r>
    </w:p>
    <w:p w14:paraId="2DB7DFC8" w14:textId="1B684FDB" w:rsidR="00114BFA" w:rsidRPr="0044787A" w:rsidRDefault="00114BFA" w:rsidP="002C5003">
      <w:pPr>
        <w:pStyle w:val="BodyText"/>
        <w:spacing w:before="200" w:after="100"/>
        <w:ind w:left="0" w:right="187" w:firstLine="187"/>
        <w:jc w:val="center"/>
        <w:rPr>
          <w:sz w:val="16"/>
          <w:szCs w:val="16"/>
        </w:rPr>
      </w:pPr>
      <w:r w:rsidRPr="0044787A">
        <w:rPr>
          <w:sz w:val="16"/>
          <w:szCs w:val="16"/>
        </w:rPr>
        <w:t>ACKNOWLEDGMENT</w:t>
      </w:r>
      <w:r w:rsidR="002C5003">
        <w:rPr>
          <w:sz w:val="16"/>
          <w:szCs w:val="16"/>
        </w:rPr>
        <w:t>S</w:t>
      </w:r>
    </w:p>
    <w:p w14:paraId="065DAE34" w14:textId="77777777" w:rsidR="00114BFA" w:rsidRPr="00114BFA" w:rsidRDefault="00114BFA" w:rsidP="00114BFA">
      <w:pPr>
        <w:pStyle w:val="BodyText"/>
        <w:spacing w:line="244" w:lineRule="auto"/>
        <w:ind w:left="0" w:right="182" w:firstLine="180"/>
        <w:jc w:val="center"/>
        <w:rPr>
          <w:sz w:val="6"/>
          <w:szCs w:val="6"/>
        </w:rPr>
      </w:pPr>
    </w:p>
    <w:p w14:paraId="781EC1FD" w14:textId="75D4984D" w:rsidR="00114BFA" w:rsidRPr="002C5003" w:rsidRDefault="00114BFA" w:rsidP="002C5003">
      <w:pPr>
        <w:pStyle w:val="BodyText"/>
        <w:spacing w:before="0" w:after="100"/>
        <w:ind w:left="0" w:right="187"/>
      </w:pPr>
      <w:r w:rsidRPr="004C79B8">
        <w:t>The authors would like to thank C</w:t>
      </w:r>
      <w:r w:rsidR="00A13373">
        <w:t>. </w:t>
      </w:r>
      <w:r w:rsidRPr="004C79B8">
        <w:t>Dumitrescu and D</w:t>
      </w:r>
      <w:r w:rsidR="00A13373">
        <w:t>. </w:t>
      </w:r>
      <w:r w:rsidRPr="004C79B8">
        <w:t>Heathcote for their significant contributions to this system</w:t>
      </w:r>
      <w:r w:rsidR="00A13373">
        <w:t xml:space="preserve">. We also would like to acknowledge </w:t>
      </w:r>
      <w:r w:rsidR="00A13373" w:rsidRPr="00A13373">
        <w:t>M. Bagritsevich</w:t>
      </w:r>
      <w:r w:rsidR="00A13373">
        <w:t xml:space="preserve"> and </w:t>
      </w:r>
      <w:r w:rsidR="00A13373" w:rsidRPr="00A13373">
        <w:t>D.</w:t>
      </w:r>
      <w:r w:rsidR="002C5003">
        <w:t> </w:t>
      </w:r>
      <w:r w:rsidR="00A13373" w:rsidRPr="00A13373">
        <w:t xml:space="preserve">Hackel for their work on the development of the annotated corpora. </w:t>
      </w:r>
      <w:r w:rsidRPr="004C79B8">
        <w:t>This material is based on work supported by several organizations over the years including the National Science Foundation (grants nos. 2211841, 1726188, and 1925494), the Temple University Catalytic Collaborative Funding Initiative, and most recently by the Pennsylvania Breast Cancer Coalition Breast and Cervical Cancer Research Initiative.</w:t>
      </w:r>
    </w:p>
    <w:p w14:paraId="59C4675A" w14:textId="77777777" w:rsidR="00114BFA" w:rsidRPr="00F7712B" w:rsidRDefault="00114BFA" w:rsidP="002C5003">
      <w:pPr>
        <w:pStyle w:val="BodyText"/>
        <w:spacing w:before="200"/>
        <w:ind w:left="0" w:right="187" w:firstLine="187"/>
        <w:jc w:val="center"/>
        <w:rPr>
          <w:sz w:val="16"/>
          <w:szCs w:val="16"/>
        </w:rPr>
      </w:pPr>
      <w:r w:rsidRPr="00F7712B">
        <w:rPr>
          <w:sz w:val="16"/>
          <w:szCs w:val="16"/>
        </w:rPr>
        <w:lastRenderedPageBreak/>
        <w:t>REFERENCES</w:t>
      </w:r>
    </w:p>
    <w:p w14:paraId="0DEC00ED" w14:textId="77777777" w:rsidR="00114BFA" w:rsidRPr="00114BFA" w:rsidRDefault="00114BFA" w:rsidP="00114BFA">
      <w:pPr>
        <w:pStyle w:val="BodyText"/>
        <w:spacing w:line="244" w:lineRule="auto"/>
        <w:ind w:left="0" w:right="182" w:firstLine="180"/>
        <w:jc w:val="center"/>
        <w:rPr>
          <w:sz w:val="6"/>
          <w:szCs w:val="6"/>
        </w:rPr>
      </w:pPr>
    </w:p>
    <w:p w14:paraId="466F3F7A" w14:textId="26B61CD6" w:rsidR="007B664C" w:rsidRPr="007B664C" w:rsidRDefault="007B664C" w:rsidP="002C5003">
      <w:pPr>
        <w:pStyle w:val="BodyText"/>
        <w:numPr>
          <w:ilvl w:val="0"/>
          <w:numId w:val="8"/>
        </w:numPr>
        <w:spacing w:before="0" w:after="60"/>
        <w:ind w:left="360" w:right="187"/>
        <w:rPr>
          <w:sz w:val="16"/>
          <w:szCs w:val="16"/>
        </w:rPr>
      </w:pPr>
      <w:bookmarkStart w:id="4" w:name="_Ref222401800"/>
      <w:bookmarkStart w:id="5" w:name="_Ref222251466"/>
      <w:r w:rsidRPr="007B664C">
        <w:rPr>
          <w:sz w:val="16"/>
          <w:szCs w:val="16"/>
        </w:rPr>
        <w:t xml:space="preserve">D. Hackel, M. Bagritsevich, C. Dumitrescu, Md. A. Al Mamun, S. A. Purba, D. Heathcote, I. Obeid, and J. Picone, “Enabling Microsegmentation: Digital Pathology Corpora for Advanced Model Development,” in </w:t>
      </w:r>
      <w:r w:rsidRPr="007B664C">
        <w:rPr>
          <w:i/>
          <w:iCs/>
          <w:sz w:val="16"/>
          <w:szCs w:val="16"/>
        </w:rPr>
        <w:t>Signal Processing in Medicine and Biology: Applications of Artificial Intelligence in Medicine and Biology</w:t>
      </w:r>
      <w:r w:rsidRPr="007B664C">
        <w:rPr>
          <w:sz w:val="16"/>
          <w:szCs w:val="16"/>
        </w:rPr>
        <w:t xml:space="preserve">, New York City, New York, USA: Springer, 2026, p. 50. [Online]. Available: </w:t>
      </w:r>
      <w:r w:rsidRPr="007B664C">
        <w:rPr>
          <w:i/>
          <w:iCs/>
          <w:sz w:val="16"/>
          <w:szCs w:val="16"/>
        </w:rPr>
        <w:t>https://isip.piconepress.com/publications/book_sections/2026/springer/dpath/</w:t>
      </w:r>
      <w:r w:rsidR="00D97AAD">
        <w:rPr>
          <w:i/>
          <w:iCs/>
          <w:sz w:val="16"/>
          <w:szCs w:val="16"/>
        </w:rPr>
        <w:t>.</w:t>
      </w:r>
      <w:bookmarkEnd w:id="4"/>
    </w:p>
    <w:p w14:paraId="5EBDD132" w14:textId="3E382F2C" w:rsidR="00114BFA" w:rsidRPr="00F7712B" w:rsidRDefault="00D97AAD" w:rsidP="002C5003">
      <w:pPr>
        <w:pStyle w:val="BodyText"/>
        <w:numPr>
          <w:ilvl w:val="0"/>
          <w:numId w:val="8"/>
        </w:numPr>
        <w:spacing w:before="0" w:after="60"/>
        <w:ind w:left="360" w:right="187"/>
        <w:rPr>
          <w:sz w:val="16"/>
          <w:szCs w:val="16"/>
        </w:rPr>
      </w:pPr>
      <w:bookmarkStart w:id="6" w:name="_Ref222401904"/>
      <w:bookmarkEnd w:id="5"/>
      <w:r w:rsidRPr="00D97AAD">
        <w:rPr>
          <w:sz w:val="16"/>
          <w:szCs w:val="16"/>
        </w:rPr>
        <w:t xml:space="preserve">S. S. Shalamzari, M. Bagritsevich, Melles, Anne-Mai, I. Obeid, J. Picone, D. Connolly, C. Wu, B. Brown, J. James, Y. Gong, and H. Wu, “Big Data Resources for Digital Pathology,” in </w:t>
      </w:r>
      <w:r w:rsidRPr="00D97AAD">
        <w:rPr>
          <w:i/>
          <w:iCs/>
          <w:sz w:val="16"/>
          <w:szCs w:val="16"/>
        </w:rPr>
        <w:t>Proceedings of the IEEE Signal Processing in Medicine and Biology Symposium</w:t>
      </w:r>
      <w:r w:rsidRPr="00D97AAD">
        <w:rPr>
          <w:sz w:val="16"/>
          <w:szCs w:val="16"/>
        </w:rPr>
        <w:t>, Philadelphia, Pennsylvania, USA: IEEE, 2023, pp. 1–19. doi:</w:t>
      </w:r>
      <w:r>
        <w:rPr>
          <w:sz w:val="16"/>
          <w:szCs w:val="16"/>
        </w:rPr>
        <w:t> </w:t>
      </w:r>
      <w:r w:rsidRPr="00D97AAD">
        <w:rPr>
          <w:i/>
          <w:iCs/>
          <w:sz w:val="16"/>
          <w:szCs w:val="16"/>
        </w:rPr>
        <w:t>10.1109/SPMB5947</w:t>
      </w:r>
      <w:r w:rsidR="00824A69">
        <w:rPr>
          <w:i/>
          <w:iCs/>
          <w:sz w:val="16"/>
          <w:szCs w:val="16"/>
        </w:rPr>
        <w:t xml:space="preserve">8. </w:t>
      </w:r>
      <w:r w:rsidRPr="00D97AAD">
        <w:rPr>
          <w:i/>
          <w:iCs/>
          <w:sz w:val="16"/>
          <w:szCs w:val="16"/>
        </w:rPr>
        <w:t>2023.10372721</w:t>
      </w:r>
      <w:r w:rsidRPr="00D97AAD">
        <w:rPr>
          <w:sz w:val="16"/>
          <w:szCs w:val="16"/>
        </w:rPr>
        <w:t>.</w:t>
      </w:r>
      <w:bookmarkEnd w:id="6"/>
    </w:p>
    <w:p w14:paraId="6519C974" w14:textId="2D10EB18" w:rsidR="00BF281F" w:rsidRPr="00BF281F" w:rsidRDefault="00BF281F" w:rsidP="002C5003">
      <w:pPr>
        <w:pStyle w:val="BodyText"/>
        <w:numPr>
          <w:ilvl w:val="0"/>
          <w:numId w:val="8"/>
        </w:numPr>
        <w:spacing w:before="0" w:after="60"/>
        <w:ind w:left="360" w:right="187"/>
        <w:rPr>
          <w:sz w:val="16"/>
          <w:szCs w:val="16"/>
        </w:rPr>
      </w:pPr>
      <w:bookmarkStart w:id="7" w:name="_Ref222401529"/>
      <w:r w:rsidRPr="00BF281F">
        <w:rPr>
          <w:sz w:val="16"/>
          <w:szCs w:val="16"/>
        </w:rPr>
        <w:t xml:space="preserve">K. He, X. Zhang, S. Ren, and J. Sun, “Deep Residual Learning for Image Recognition,” in </w:t>
      </w:r>
      <w:r w:rsidRPr="00BF281F">
        <w:rPr>
          <w:i/>
          <w:iCs/>
          <w:sz w:val="16"/>
          <w:szCs w:val="16"/>
        </w:rPr>
        <w:t>Proceedings of the IEEE/CVF Conference on Computer Vision and Pattern Recognition</w:t>
      </w:r>
      <w:r w:rsidRPr="00BF281F">
        <w:rPr>
          <w:sz w:val="16"/>
          <w:szCs w:val="16"/>
        </w:rPr>
        <w:t xml:space="preserve"> (CVPR), Las Vegas, Nevada, USA, 2016, pp. 770–778. doi: </w:t>
      </w:r>
      <w:r w:rsidRPr="00BF281F">
        <w:rPr>
          <w:i/>
          <w:iCs/>
          <w:sz w:val="16"/>
          <w:szCs w:val="16"/>
        </w:rPr>
        <w:t>10.1109/CVPR.2016.90</w:t>
      </w:r>
      <w:r w:rsidRPr="00BF281F">
        <w:rPr>
          <w:sz w:val="16"/>
          <w:szCs w:val="16"/>
        </w:rPr>
        <w:t>.</w:t>
      </w:r>
      <w:bookmarkEnd w:id="7"/>
    </w:p>
    <w:p w14:paraId="3E8A38B2" w14:textId="4163B599" w:rsidR="00BF281F" w:rsidRPr="00BF281F" w:rsidRDefault="00BF281F" w:rsidP="002C5003">
      <w:pPr>
        <w:pStyle w:val="BodyText"/>
        <w:numPr>
          <w:ilvl w:val="0"/>
          <w:numId w:val="8"/>
        </w:numPr>
        <w:spacing w:before="0" w:after="60"/>
        <w:ind w:left="360" w:right="187"/>
        <w:rPr>
          <w:sz w:val="16"/>
          <w:szCs w:val="16"/>
        </w:rPr>
      </w:pPr>
      <w:bookmarkStart w:id="8" w:name="_Ref222401554"/>
      <w:r w:rsidRPr="00BF281F">
        <w:rPr>
          <w:sz w:val="16"/>
          <w:szCs w:val="16"/>
        </w:rPr>
        <w:t xml:space="preserve">M. Tan and Q. V. Le, “EfficientNet: Rethinking Model Scaling for Convolutional Neural Networks,” in Proceedings of the International Conference on Machine Learning (ICML), K. Chaudhuri and R. Salakhutdinov, Eds., in </w:t>
      </w:r>
      <w:r w:rsidRPr="00BF281F">
        <w:rPr>
          <w:i/>
          <w:iCs/>
          <w:sz w:val="16"/>
          <w:szCs w:val="16"/>
        </w:rPr>
        <w:t>Proceedings of Machine Learning Research</w:t>
      </w:r>
      <w:r w:rsidRPr="00BF281F">
        <w:rPr>
          <w:sz w:val="16"/>
          <w:szCs w:val="16"/>
        </w:rPr>
        <w:t>, vol.</w:t>
      </w:r>
      <w:r>
        <w:rPr>
          <w:sz w:val="16"/>
          <w:szCs w:val="16"/>
        </w:rPr>
        <w:t> </w:t>
      </w:r>
      <w:r w:rsidRPr="00BF281F">
        <w:rPr>
          <w:sz w:val="16"/>
          <w:szCs w:val="16"/>
        </w:rPr>
        <w:t xml:space="preserve">97. Long Beach, California, USA: PMLR, May 2019, pp. 6105–6114. doi: </w:t>
      </w:r>
      <w:r w:rsidRPr="00BF281F">
        <w:rPr>
          <w:i/>
          <w:iCs/>
          <w:sz w:val="16"/>
          <w:szCs w:val="16"/>
        </w:rPr>
        <w:t>http://proceedings.mlr.press/v97/tan19a.html</w:t>
      </w:r>
      <w:r w:rsidRPr="00BF281F">
        <w:rPr>
          <w:sz w:val="16"/>
          <w:szCs w:val="16"/>
        </w:rPr>
        <w:t>.</w:t>
      </w:r>
      <w:bookmarkEnd w:id="8"/>
    </w:p>
    <w:p w14:paraId="688F8F98" w14:textId="7590FB7E" w:rsidR="00E37290" w:rsidRPr="00E37290" w:rsidRDefault="00BF281F" w:rsidP="002C5003">
      <w:pPr>
        <w:pStyle w:val="BodyText"/>
        <w:numPr>
          <w:ilvl w:val="0"/>
          <w:numId w:val="8"/>
        </w:numPr>
        <w:spacing w:before="0" w:after="60"/>
        <w:ind w:left="360" w:right="187"/>
        <w:rPr>
          <w:sz w:val="16"/>
          <w:szCs w:val="16"/>
        </w:rPr>
      </w:pPr>
      <w:bookmarkStart w:id="9" w:name="_Ref222401582"/>
      <w:r w:rsidRPr="00BF281F">
        <w:rPr>
          <w:sz w:val="16"/>
          <w:szCs w:val="16"/>
        </w:rPr>
        <w:t xml:space="preserve">A. Dosovitskiy, L. Beyer, A. Kolesnikov, D. Weissenborn, X. Zhai, T. Unterthiner, M. Dehghani, M. </w:t>
      </w:r>
      <w:proofErr w:type="spellStart"/>
      <w:r w:rsidRPr="00BF281F">
        <w:rPr>
          <w:sz w:val="16"/>
          <w:szCs w:val="16"/>
        </w:rPr>
        <w:t>Minderer</w:t>
      </w:r>
      <w:proofErr w:type="spellEnd"/>
      <w:r w:rsidRPr="00BF281F">
        <w:rPr>
          <w:sz w:val="16"/>
          <w:szCs w:val="16"/>
        </w:rPr>
        <w:t xml:space="preserve">, G. </w:t>
      </w:r>
      <w:proofErr w:type="spellStart"/>
      <w:r w:rsidRPr="00BF281F">
        <w:rPr>
          <w:sz w:val="16"/>
          <w:szCs w:val="16"/>
        </w:rPr>
        <w:t>Heigold</w:t>
      </w:r>
      <w:proofErr w:type="spellEnd"/>
      <w:r w:rsidRPr="00BF281F">
        <w:rPr>
          <w:sz w:val="16"/>
          <w:szCs w:val="16"/>
        </w:rPr>
        <w:t xml:space="preserve">, S. Gelly, J. </w:t>
      </w:r>
      <w:proofErr w:type="spellStart"/>
      <w:r w:rsidRPr="00BF281F">
        <w:rPr>
          <w:sz w:val="16"/>
          <w:szCs w:val="16"/>
        </w:rPr>
        <w:t>Uszkoreit</w:t>
      </w:r>
      <w:proofErr w:type="spellEnd"/>
      <w:r w:rsidRPr="00BF281F">
        <w:rPr>
          <w:sz w:val="16"/>
          <w:szCs w:val="16"/>
        </w:rPr>
        <w:t xml:space="preserve">, and N. </w:t>
      </w:r>
      <w:proofErr w:type="spellStart"/>
      <w:r w:rsidRPr="00BF281F">
        <w:rPr>
          <w:sz w:val="16"/>
          <w:szCs w:val="16"/>
        </w:rPr>
        <w:t>Houlsby</w:t>
      </w:r>
      <w:proofErr w:type="spellEnd"/>
      <w:r w:rsidRPr="00BF281F">
        <w:rPr>
          <w:sz w:val="16"/>
          <w:szCs w:val="16"/>
        </w:rPr>
        <w:t xml:space="preserve">, “An Image is Worth 16x16 Words: Transformers for Image Recognition at Scale,” in </w:t>
      </w:r>
      <w:r w:rsidRPr="00BF281F">
        <w:rPr>
          <w:i/>
          <w:iCs/>
          <w:sz w:val="16"/>
          <w:szCs w:val="16"/>
        </w:rPr>
        <w:t>Proceedings of the International Conference on Learning Representations</w:t>
      </w:r>
      <w:r w:rsidRPr="00BF281F">
        <w:rPr>
          <w:sz w:val="16"/>
          <w:szCs w:val="16"/>
        </w:rPr>
        <w:t xml:space="preserve"> (ICLR), Vienna, Austria: OpenReview.net, 2021, pp. 1–21. </w:t>
      </w:r>
      <w:r>
        <w:rPr>
          <w:sz w:val="16"/>
          <w:szCs w:val="16"/>
        </w:rPr>
        <w:t>d</w:t>
      </w:r>
      <w:r w:rsidRPr="00BF281F">
        <w:rPr>
          <w:sz w:val="16"/>
          <w:szCs w:val="16"/>
        </w:rPr>
        <w:t>oi</w:t>
      </w:r>
      <w:r>
        <w:rPr>
          <w:sz w:val="16"/>
          <w:szCs w:val="16"/>
        </w:rPr>
        <w:t>: </w:t>
      </w:r>
      <w:r w:rsidRPr="00BF281F">
        <w:rPr>
          <w:i/>
          <w:iCs/>
          <w:sz w:val="16"/>
          <w:szCs w:val="16"/>
        </w:rPr>
        <w:t>https://iclr.cc/virtual/</w:t>
      </w:r>
      <w:r>
        <w:rPr>
          <w:i/>
          <w:iCs/>
          <w:sz w:val="16"/>
          <w:szCs w:val="16"/>
        </w:rPr>
        <w:t xml:space="preserve"> </w:t>
      </w:r>
      <w:r w:rsidRPr="00BF281F">
        <w:rPr>
          <w:i/>
          <w:iCs/>
          <w:sz w:val="16"/>
          <w:szCs w:val="16"/>
        </w:rPr>
        <w:t>2021/oral/3458</w:t>
      </w:r>
      <w:r w:rsidRPr="00BF281F">
        <w:rPr>
          <w:sz w:val="16"/>
          <w:szCs w:val="16"/>
        </w:rPr>
        <w:t>.</w:t>
      </w:r>
      <w:bookmarkEnd w:id="9"/>
    </w:p>
    <w:p w14:paraId="6684B3C0" w14:textId="1E89ABA9" w:rsidR="00E37290" w:rsidRPr="00E37290" w:rsidRDefault="00E37290" w:rsidP="002C5003">
      <w:pPr>
        <w:pStyle w:val="BodyText"/>
        <w:numPr>
          <w:ilvl w:val="0"/>
          <w:numId w:val="8"/>
        </w:numPr>
        <w:spacing w:before="0" w:after="60"/>
        <w:ind w:left="360" w:right="187"/>
        <w:rPr>
          <w:sz w:val="16"/>
          <w:szCs w:val="16"/>
        </w:rPr>
      </w:pPr>
      <w:bookmarkStart w:id="10" w:name="_Ref222402135"/>
      <w:r w:rsidRPr="00E37290">
        <w:rPr>
          <w:sz w:val="16"/>
          <w:szCs w:val="16"/>
        </w:rPr>
        <w:t>Z. Liu, H. Hu, Y. Lin, Z. Yao, Z. Xie, Y. Wei, J. Ning, Y. Cao, Z. Zhang, L. Dong, F. Wei, and B. Guo, “Swin Transformer V2: Scaling Up Capacity and Resolution,” in 2022 IEEE/CVF Conference on Computer Vision and Pattern Recognition (CVPR), 2022, pp. 11999–12009. doi:</w:t>
      </w:r>
      <w:r>
        <w:rPr>
          <w:sz w:val="16"/>
          <w:szCs w:val="16"/>
        </w:rPr>
        <w:t> </w:t>
      </w:r>
      <w:r w:rsidRPr="00E37290">
        <w:rPr>
          <w:i/>
          <w:iCs/>
          <w:sz w:val="16"/>
          <w:szCs w:val="16"/>
        </w:rPr>
        <w:t>10.1109/CVPR52688.2022.01170</w:t>
      </w:r>
      <w:r w:rsidRPr="00E37290">
        <w:rPr>
          <w:sz w:val="16"/>
          <w:szCs w:val="16"/>
        </w:rPr>
        <w:t>.</w:t>
      </w:r>
      <w:bookmarkEnd w:id="10"/>
    </w:p>
    <w:p w14:paraId="5C78AB72" w14:textId="77777777" w:rsidR="00E37290" w:rsidRDefault="00E37290" w:rsidP="00E37290">
      <w:pPr>
        <w:pStyle w:val="BodyText"/>
        <w:spacing w:line="244" w:lineRule="auto"/>
        <w:ind w:left="0" w:right="182"/>
        <w:rPr>
          <w:sz w:val="16"/>
          <w:szCs w:val="16"/>
        </w:rPr>
      </w:pPr>
    </w:p>
    <w:p w14:paraId="71C534F5" w14:textId="77777777" w:rsidR="00BF281F" w:rsidRPr="00BF281F" w:rsidRDefault="00BF281F" w:rsidP="00BF281F">
      <w:pPr>
        <w:pStyle w:val="BodyText"/>
        <w:spacing w:line="244" w:lineRule="auto"/>
        <w:ind w:left="360" w:right="182"/>
        <w:rPr>
          <w:sz w:val="16"/>
          <w:szCs w:val="16"/>
        </w:rPr>
      </w:pPr>
    </w:p>
    <w:sectPr w:rsidR="00BF281F" w:rsidRPr="00BF281F" w:rsidSect="00616533">
      <w:type w:val="continuous"/>
      <w:pgSz w:w="12240" w:h="15840"/>
      <w:pgMar w:top="1080" w:right="907" w:bottom="1440" w:left="907" w:header="0" w:footer="0" w:gutter="0"/>
      <w:cols w:num="2" w:space="18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7E7D"/>
    <w:multiLevelType w:val="hybridMultilevel"/>
    <w:tmpl w:val="C306592C"/>
    <w:lvl w:ilvl="0" w:tplc="5266655A">
      <w:start w:val="1"/>
      <w:numFmt w:val="upperRoman"/>
      <w:lvlText w:val="%1."/>
      <w:lvlJc w:val="left"/>
      <w:pPr>
        <w:ind w:left="2227" w:hanging="262"/>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C1D6CEBA">
      <w:numFmt w:val="bullet"/>
      <w:lvlText w:val="•"/>
      <w:lvlJc w:val="left"/>
      <w:pPr>
        <w:ind w:left="3078" w:hanging="262"/>
      </w:pPr>
      <w:rPr>
        <w:rFonts w:hint="default"/>
        <w:lang w:val="en-US" w:eastAsia="en-US" w:bidi="ar-SA"/>
      </w:rPr>
    </w:lvl>
    <w:lvl w:ilvl="2" w:tplc="3C3EA3C2">
      <w:numFmt w:val="bullet"/>
      <w:lvlText w:val="•"/>
      <w:lvlJc w:val="left"/>
      <w:pPr>
        <w:ind w:left="3936" w:hanging="262"/>
      </w:pPr>
      <w:rPr>
        <w:rFonts w:hint="default"/>
        <w:lang w:val="en-US" w:eastAsia="en-US" w:bidi="ar-SA"/>
      </w:rPr>
    </w:lvl>
    <w:lvl w:ilvl="3" w:tplc="BFDC0EEA">
      <w:numFmt w:val="bullet"/>
      <w:lvlText w:val="•"/>
      <w:lvlJc w:val="left"/>
      <w:pPr>
        <w:ind w:left="4794" w:hanging="262"/>
      </w:pPr>
      <w:rPr>
        <w:rFonts w:hint="default"/>
        <w:lang w:val="en-US" w:eastAsia="en-US" w:bidi="ar-SA"/>
      </w:rPr>
    </w:lvl>
    <w:lvl w:ilvl="4" w:tplc="7D0CDB24">
      <w:numFmt w:val="bullet"/>
      <w:lvlText w:val="•"/>
      <w:lvlJc w:val="left"/>
      <w:pPr>
        <w:ind w:left="5652" w:hanging="262"/>
      </w:pPr>
      <w:rPr>
        <w:rFonts w:hint="default"/>
        <w:lang w:val="en-US" w:eastAsia="en-US" w:bidi="ar-SA"/>
      </w:rPr>
    </w:lvl>
    <w:lvl w:ilvl="5" w:tplc="7F148664">
      <w:numFmt w:val="bullet"/>
      <w:lvlText w:val="•"/>
      <w:lvlJc w:val="left"/>
      <w:pPr>
        <w:ind w:left="6510" w:hanging="262"/>
      </w:pPr>
      <w:rPr>
        <w:rFonts w:hint="default"/>
        <w:lang w:val="en-US" w:eastAsia="en-US" w:bidi="ar-SA"/>
      </w:rPr>
    </w:lvl>
    <w:lvl w:ilvl="6" w:tplc="1EB8F1EC">
      <w:numFmt w:val="bullet"/>
      <w:lvlText w:val="•"/>
      <w:lvlJc w:val="left"/>
      <w:pPr>
        <w:ind w:left="7368" w:hanging="262"/>
      </w:pPr>
      <w:rPr>
        <w:rFonts w:hint="default"/>
        <w:lang w:val="en-US" w:eastAsia="en-US" w:bidi="ar-SA"/>
      </w:rPr>
    </w:lvl>
    <w:lvl w:ilvl="7" w:tplc="B052F08E">
      <w:numFmt w:val="bullet"/>
      <w:lvlText w:val="•"/>
      <w:lvlJc w:val="left"/>
      <w:pPr>
        <w:ind w:left="8226" w:hanging="262"/>
      </w:pPr>
      <w:rPr>
        <w:rFonts w:hint="default"/>
        <w:lang w:val="en-US" w:eastAsia="en-US" w:bidi="ar-SA"/>
      </w:rPr>
    </w:lvl>
    <w:lvl w:ilvl="8" w:tplc="F7982DF4">
      <w:numFmt w:val="bullet"/>
      <w:lvlText w:val="•"/>
      <w:lvlJc w:val="left"/>
      <w:pPr>
        <w:ind w:left="9084" w:hanging="262"/>
      </w:pPr>
      <w:rPr>
        <w:rFonts w:hint="default"/>
        <w:lang w:val="en-US" w:eastAsia="en-US" w:bidi="ar-SA"/>
      </w:rPr>
    </w:lvl>
  </w:abstractNum>
  <w:abstractNum w:abstractNumId="1" w15:restartNumberingAfterBreak="0">
    <w:nsid w:val="07B96F6B"/>
    <w:multiLevelType w:val="hybridMultilevel"/>
    <w:tmpl w:val="2E8E45D0"/>
    <w:lvl w:ilvl="0" w:tplc="FFFFFFFF">
      <w:start w:val="1"/>
      <w:numFmt w:val="upp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 w15:restartNumberingAfterBreak="0">
    <w:nsid w:val="16C35B03"/>
    <w:multiLevelType w:val="hybridMultilevel"/>
    <w:tmpl w:val="E99E0DE2"/>
    <w:lvl w:ilvl="0" w:tplc="08090015">
      <w:start w:val="1"/>
      <w:numFmt w:val="upperLetter"/>
      <w:lvlText w:val="%1."/>
      <w:lvlJc w:val="left"/>
      <w:pPr>
        <w:ind w:left="907" w:hanging="360"/>
      </w:pPr>
    </w:lvl>
    <w:lvl w:ilvl="1" w:tplc="08090019" w:tentative="1">
      <w:start w:val="1"/>
      <w:numFmt w:val="lowerLetter"/>
      <w:lvlText w:val="%2."/>
      <w:lvlJc w:val="left"/>
      <w:pPr>
        <w:ind w:left="1627" w:hanging="360"/>
      </w:pPr>
    </w:lvl>
    <w:lvl w:ilvl="2" w:tplc="0809001B" w:tentative="1">
      <w:start w:val="1"/>
      <w:numFmt w:val="lowerRoman"/>
      <w:lvlText w:val="%3."/>
      <w:lvlJc w:val="right"/>
      <w:pPr>
        <w:ind w:left="2347" w:hanging="180"/>
      </w:pPr>
    </w:lvl>
    <w:lvl w:ilvl="3" w:tplc="0809000F" w:tentative="1">
      <w:start w:val="1"/>
      <w:numFmt w:val="decimal"/>
      <w:lvlText w:val="%4."/>
      <w:lvlJc w:val="left"/>
      <w:pPr>
        <w:ind w:left="3067" w:hanging="360"/>
      </w:pPr>
    </w:lvl>
    <w:lvl w:ilvl="4" w:tplc="08090019" w:tentative="1">
      <w:start w:val="1"/>
      <w:numFmt w:val="lowerLetter"/>
      <w:lvlText w:val="%5."/>
      <w:lvlJc w:val="left"/>
      <w:pPr>
        <w:ind w:left="3787" w:hanging="360"/>
      </w:pPr>
    </w:lvl>
    <w:lvl w:ilvl="5" w:tplc="0809001B" w:tentative="1">
      <w:start w:val="1"/>
      <w:numFmt w:val="lowerRoman"/>
      <w:lvlText w:val="%6."/>
      <w:lvlJc w:val="right"/>
      <w:pPr>
        <w:ind w:left="4507" w:hanging="180"/>
      </w:pPr>
    </w:lvl>
    <w:lvl w:ilvl="6" w:tplc="0809000F" w:tentative="1">
      <w:start w:val="1"/>
      <w:numFmt w:val="decimal"/>
      <w:lvlText w:val="%7."/>
      <w:lvlJc w:val="left"/>
      <w:pPr>
        <w:ind w:left="5227" w:hanging="360"/>
      </w:pPr>
    </w:lvl>
    <w:lvl w:ilvl="7" w:tplc="08090019" w:tentative="1">
      <w:start w:val="1"/>
      <w:numFmt w:val="lowerLetter"/>
      <w:lvlText w:val="%8."/>
      <w:lvlJc w:val="left"/>
      <w:pPr>
        <w:ind w:left="5947" w:hanging="360"/>
      </w:pPr>
    </w:lvl>
    <w:lvl w:ilvl="8" w:tplc="0809001B" w:tentative="1">
      <w:start w:val="1"/>
      <w:numFmt w:val="lowerRoman"/>
      <w:lvlText w:val="%9."/>
      <w:lvlJc w:val="right"/>
      <w:pPr>
        <w:ind w:left="6667" w:hanging="180"/>
      </w:pPr>
    </w:lvl>
  </w:abstractNum>
  <w:abstractNum w:abstractNumId="3" w15:restartNumberingAfterBreak="0">
    <w:nsid w:val="21014D26"/>
    <w:multiLevelType w:val="hybridMultilevel"/>
    <w:tmpl w:val="80C23A06"/>
    <w:lvl w:ilvl="0" w:tplc="68C026C4">
      <w:start w:val="3"/>
      <w:numFmt w:val="decimal"/>
      <w:lvlText w:val="[%1]"/>
      <w:lvlJc w:val="left"/>
      <w:pPr>
        <w:ind w:left="547" w:hanging="361"/>
      </w:pPr>
      <w:rPr>
        <w:rFonts w:ascii="Times New Roman" w:eastAsia="Times New Roman" w:hAnsi="Times New Roman" w:cs="Times New Roman" w:hint="default"/>
        <w:b w:val="0"/>
        <w:bCs w:val="0"/>
        <w:i w:val="0"/>
        <w:iCs w:val="0"/>
        <w:spacing w:val="0"/>
        <w:w w:val="100"/>
        <w:sz w:val="16"/>
        <w:szCs w:val="16"/>
        <w:lang w:val="en-US" w:eastAsia="en-US" w:bidi="ar-SA"/>
      </w:rPr>
    </w:lvl>
    <w:lvl w:ilvl="1" w:tplc="6FDE078E">
      <w:numFmt w:val="bullet"/>
      <w:lvlText w:val="•"/>
      <w:lvlJc w:val="left"/>
      <w:pPr>
        <w:ind w:left="1026" w:hanging="361"/>
      </w:pPr>
      <w:rPr>
        <w:rFonts w:hint="default"/>
        <w:lang w:val="en-US" w:eastAsia="en-US" w:bidi="ar-SA"/>
      </w:rPr>
    </w:lvl>
    <w:lvl w:ilvl="2" w:tplc="4510DC1C">
      <w:numFmt w:val="bullet"/>
      <w:lvlText w:val="•"/>
      <w:lvlJc w:val="left"/>
      <w:pPr>
        <w:ind w:left="1513" w:hanging="361"/>
      </w:pPr>
      <w:rPr>
        <w:rFonts w:hint="default"/>
        <w:lang w:val="en-US" w:eastAsia="en-US" w:bidi="ar-SA"/>
      </w:rPr>
    </w:lvl>
    <w:lvl w:ilvl="3" w:tplc="D57A6344">
      <w:numFmt w:val="bullet"/>
      <w:lvlText w:val="•"/>
      <w:lvlJc w:val="left"/>
      <w:pPr>
        <w:ind w:left="2000" w:hanging="361"/>
      </w:pPr>
      <w:rPr>
        <w:rFonts w:hint="default"/>
        <w:lang w:val="en-US" w:eastAsia="en-US" w:bidi="ar-SA"/>
      </w:rPr>
    </w:lvl>
    <w:lvl w:ilvl="4" w:tplc="8508204E">
      <w:numFmt w:val="bullet"/>
      <w:lvlText w:val="•"/>
      <w:lvlJc w:val="left"/>
      <w:pPr>
        <w:ind w:left="2486" w:hanging="361"/>
      </w:pPr>
      <w:rPr>
        <w:rFonts w:hint="default"/>
        <w:lang w:val="en-US" w:eastAsia="en-US" w:bidi="ar-SA"/>
      </w:rPr>
    </w:lvl>
    <w:lvl w:ilvl="5" w:tplc="96DC1094">
      <w:numFmt w:val="bullet"/>
      <w:lvlText w:val="•"/>
      <w:lvlJc w:val="left"/>
      <w:pPr>
        <w:ind w:left="2973" w:hanging="361"/>
      </w:pPr>
      <w:rPr>
        <w:rFonts w:hint="default"/>
        <w:lang w:val="en-US" w:eastAsia="en-US" w:bidi="ar-SA"/>
      </w:rPr>
    </w:lvl>
    <w:lvl w:ilvl="6" w:tplc="41F4B13C">
      <w:numFmt w:val="bullet"/>
      <w:lvlText w:val="•"/>
      <w:lvlJc w:val="left"/>
      <w:pPr>
        <w:ind w:left="3460" w:hanging="361"/>
      </w:pPr>
      <w:rPr>
        <w:rFonts w:hint="default"/>
        <w:lang w:val="en-US" w:eastAsia="en-US" w:bidi="ar-SA"/>
      </w:rPr>
    </w:lvl>
    <w:lvl w:ilvl="7" w:tplc="F5E28EB0">
      <w:numFmt w:val="bullet"/>
      <w:lvlText w:val="•"/>
      <w:lvlJc w:val="left"/>
      <w:pPr>
        <w:ind w:left="3947" w:hanging="361"/>
      </w:pPr>
      <w:rPr>
        <w:rFonts w:hint="default"/>
        <w:lang w:val="en-US" w:eastAsia="en-US" w:bidi="ar-SA"/>
      </w:rPr>
    </w:lvl>
    <w:lvl w:ilvl="8" w:tplc="882EC132">
      <w:numFmt w:val="bullet"/>
      <w:lvlText w:val="•"/>
      <w:lvlJc w:val="left"/>
      <w:pPr>
        <w:ind w:left="4433" w:hanging="361"/>
      </w:pPr>
      <w:rPr>
        <w:rFonts w:hint="default"/>
        <w:lang w:val="en-US" w:eastAsia="en-US" w:bidi="ar-SA"/>
      </w:rPr>
    </w:lvl>
  </w:abstractNum>
  <w:abstractNum w:abstractNumId="4" w15:restartNumberingAfterBreak="0">
    <w:nsid w:val="35972B86"/>
    <w:multiLevelType w:val="hybridMultilevel"/>
    <w:tmpl w:val="A148E212"/>
    <w:lvl w:ilvl="0" w:tplc="E2D25220">
      <w:start w:val="1"/>
      <w:numFmt w:val="decimal"/>
      <w:lvlText w:val="[%1]"/>
      <w:lvlJc w:val="left"/>
      <w:pPr>
        <w:ind w:left="720" w:hanging="360"/>
      </w:pPr>
      <w:rPr>
        <w:rFonts w:hint="default"/>
      </w:rPr>
    </w:lvl>
    <w:lvl w:ilvl="1" w:tplc="FFFFFFFF" w:tentative="1">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5" w15:restartNumberingAfterBreak="0">
    <w:nsid w:val="3AA16273"/>
    <w:multiLevelType w:val="hybridMultilevel"/>
    <w:tmpl w:val="1E7CFD34"/>
    <w:lvl w:ilvl="0" w:tplc="7DD86E86">
      <w:start w:val="1"/>
      <w:numFmt w:val="upperLetter"/>
      <w:lvlText w:val="%1."/>
      <w:lvlJc w:val="left"/>
      <w:pPr>
        <w:ind w:left="504" w:hanging="317"/>
      </w:pPr>
      <w:rPr>
        <w:rFonts w:ascii="Times New Roman" w:eastAsia="Times New Roman" w:hAnsi="Times New Roman" w:cs="Times New Roman" w:hint="default"/>
        <w:b w:val="0"/>
        <w:bCs w:val="0"/>
        <w:i/>
        <w:iCs/>
        <w:spacing w:val="0"/>
        <w:w w:val="99"/>
        <w:sz w:val="20"/>
        <w:szCs w:val="20"/>
        <w:lang w:val="en-US" w:eastAsia="en-US" w:bidi="ar-SA"/>
      </w:rPr>
    </w:lvl>
    <w:lvl w:ilvl="1" w:tplc="8C620C42">
      <w:numFmt w:val="bullet"/>
      <w:lvlText w:val="•"/>
      <w:lvlJc w:val="left"/>
      <w:pPr>
        <w:ind w:left="990" w:hanging="317"/>
      </w:pPr>
      <w:rPr>
        <w:rFonts w:hint="default"/>
        <w:lang w:val="en-US" w:eastAsia="en-US" w:bidi="ar-SA"/>
      </w:rPr>
    </w:lvl>
    <w:lvl w:ilvl="2" w:tplc="A46ADE40">
      <w:numFmt w:val="bullet"/>
      <w:lvlText w:val="•"/>
      <w:lvlJc w:val="left"/>
      <w:pPr>
        <w:ind w:left="1481" w:hanging="317"/>
      </w:pPr>
      <w:rPr>
        <w:rFonts w:hint="default"/>
        <w:lang w:val="en-US" w:eastAsia="en-US" w:bidi="ar-SA"/>
      </w:rPr>
    </w:lvl>
    <w:lvl w:ilvl="3" w:tplc="E5E049F8">
      <w:numFmt w:val="bullet"/>
      <w:lvlText w:val="•"/>
      <w:lvlJc w:val="left"/>
      <w:pPr>
        <w:ind w:left="1972" w:hanging="317"/>
      </w:pPr>
      <w:rPr>
        <w:rFonts w:hint="default"/>
        <w:lang w:val="en-US" w:eastAsia="en-US" w:bidi="ar-SA"/>
      </w:rPr>
    </w:lvl>
    <w:lvl w:ilvl="4" w:tplc="34F86798">
      <w:numFmt w:val="bullet"/>
      <w:lvlText w:val="•"/>
      <w:lvlJc w:val="left"/>
      <w:pPr>
        <w:ind w:left="2462" w:hanging="317"/>
      </w:pPr>
      <w:rPr>
        <w:rFonts w:hint="default"/>
        <w:lang w:val="en-US" w:eastAsia="en-US" w:bidi="ar-SA"/>
      </w:rPr>
    </w:lvl>
    <w:lvl w:ilvl="5" w:tplc="9C5AD832">
      <w:numFmt w:val="bullet"/>
      <w:lvlText w:val="•"/>
      <w:lvlJc w:val="left"/>
      <w:pPr>
        <w:ind w:left="2953" w:hanging="317"/>
      </w:pPr>
      <w:rPr>
        <w:rFonts w:hint="default"/>
        <w:lang w:val="en-US" w:eastAsia="en-US" w:bidi="ar-SA"/>
      </w:rPr>
    </w:lvl>
    <w:lvl w:ilvl="6" w:tplc="9F923292">
      <w:numFmt w:val="bullet"/>
      <w:lvlText w:val="•"/>
      <w:lvlJc w:val="left"/>
      <w:pPr>
        <w:ind w:left="3444" w:hanging="317"/>
      </w:pPr>
      <w:rPr>
        <w:rFonts w:hint="default"/>
        <w:lang w:val="en-US" w:eastAsia="en-US" w:bidi="ar-SA"/>
      </w:rPr>
    </w:lvl>
    <w:lvl w:ilvl="7" w:tplc="9A0C46B0">
      <w:numFmt w:val="bullet"/>
      <w:lvlText w:val="•"/>
      <w:lvlJc w:val="left"/>
      <w:pPr>
        <w:ind w:left="3935" w:hanging="317"/>
      </w:pPr>
      <w:rPr>
        <w:rFonts w:hint="default"/>
        <w:lang w:val="en-US" w:eastAsia="en-US" w:bidi="ar-SA"/>
      </w:rPr>
    </w:lvl>
    <w:lvl w:ilvl="8" w:tplc="2F1C91C4">
      <w:numFmt w:val="bullet"/>
      <w:lvlText w:val="•"/>
      <w:lvlJc w:val="left"/>
      <w:pPr>
        <w:ind w:left="4425" w:hanging="317"/>
      </w:pPr>
      <w:rPr>
        <w:rFonts w:hint="default"/>
        <w:lang w:val="en-US" w:eastAsia="en-US" w:bidi="ar-SA"/>
      </w:rPr>
    </w:lvl>
  </w:abstractNum>
  <w:abstractNum w:abstractNumId="6" w15:restartNumberingAfterBreak="0">
    <w:nsid w:val="3AA86C86"/>
    <w:multiLevelType w:val="hybridMultilevel"/>
    <w:tmpl w:val="3230E99A"/>
    <w:lvl w:ilvl="0" w:tplc="50C4CB4E">
      <w:start w:val="1"/>
      <w:numFmt w:val="decimal"/>
      <w:lvlText w:val="%1)"/>
      <w:lvlJc w:val="left"/>
      <w:pPr>
        <w:ind w:left="187" w:hanging="236"/>
      </w:pPr>
      <w:rPr>
        <w:rFonts w:ascii="Times New Roman" w:eastAsia="Times New Roman" w:hAnsi="Times New Roman" w:cs="Times New Roman" w:hint="default"/>
        <w:b w:val="0"/>
        <w:bCs w:val="0"/>
        <w:i/>
        <w:iCs/>
        <w:spacing w:val="0"/>
        <w:w w:val="99"/>
        <w:sz w:val="20"/>
        <w:szCs w:val="20"/>
        <w:lang w:val="en-US" w:eastAsia="en-US" w:bidi="ar-SA"/>
      </w:rPr>
    </w:lvl>
    <w:lvl w:ilvl="1" w:tplc="FC70F74C">
      <w:numFmt w:val="bullet"/>
      <w:lvlText w:val="•"/>
      <w:lvlJc w:val="left"/>
      <w:pPr>
        <w:ind w:left="688" w:hanging="236"/>
      </w:pPr>
      <w:rPr>
        <w:rFonts w:hint="default"/>
        <w:lang w:val="en-US" w:eastAsia="en-US" w:bidi="ar-SA"/>
      </w:rPr>
    </w:lvl>
    <w:lvl w:ilvl="2" w:tplc="AA18E4B2">
      <w:numFmt w:val="bullet"/>
      <w:lvlText w:val="•"/>
      <w:lvlJc w:val="left"/>
      <w:pPr>
        <w:ind w:left="1196" w:hanging="236"/>
      </w:pPr>
      <w:rPr>
        <w:rFonts w:hint="default"/>
        <w:lang w:val="en-US" w:eastAsia="en-US" w:bidi="ar-SA"/>
      </w:rPr>
    </w:lvl>
    <w:lvl w:ilvl="3" w:tplc="2F7AAD2A">
      <w:numFmt w:val="bullet"/>
      <w:lvlText w:val="•"/>
      <w:lvlJc w:val="left"/>
      <w:pPr>
        <w:ind w:left="1704" w:hanging="236"/>
      </w:pPr>
      <w:rPr>
        <w:rFonts w:hint="default"/>
        <w:lang w:val="en-US" w:eastAsia="en-US" w:bidi="ar-SA"/>
      </w:rPr>
    </w:lvl>
    <w:lvl w:ilvl="4" w:tplc="A7D8A7EE">
      <w:numFmt w:val="bullet"/>
      <w:lvlText w:val="•"/>
      <w:lvlJc w:val="left"/>
      <w:pPr>
        <w:ind w:left="2213" w:hanging="236"/>
      </w:pPr>
      <w:rPr>
        <w:rFonts w:hint="default"/>
        <w:lang w:val="en-US" w:eastAsia="en-US" w:bidi="ar-SA"/>
      </w:rPr>
    </w:lvl>
    <w:lvl w:ilvl="5" w:tplc="D5DE42FE">
      <w:numFmt w:val="bullet"/>
      <w:lvlText w:val="•"/>
      <w:lvlJc w:val="left"/>
      <w:pPr>
        <w:ind w:left="2721" w:hanging="236"/>
      </w:pPr>
      <w:rPr>
        <w:rFonts w:hint="default"/>
        <w:lang w:val="en-US" w:eastAsia="en-US" w:bidi="ar-SA"/>
      </w:rPr>
    </w:lvl>
    <w:lvl w:ilvl="6" w:tplc="9E42F114">
      <w:numFmt w:val="bullet"/>
      <w:lvlText w:val="•"/>
      <w:lvlJc w:val="left"/>
      <w:pPr>
        <w:ind w:left="3229" w:hanging="236"/>
      </w:pPr>
      <w:rPr>
        <w:rFonts w:hint="default"/>
        <w:lang w:val="en-US" w:eastAsia="en-US" w:bidi="ar-SA"/>
      </w:rPr>
    </w:lvl>
    <w:lvl w:ilvl="7" w:tplc="24F41246">
      <w:numFmt w:val="bullet"/>
      <w:lvlText w:val="•"/>
      <w:lvlJc w:val="left"/>
      <w:pPr>
        <w:ind w:left="3737" w:hanging="236"/>
      </w:pPr>
      <w:rPr>
        <w:rFonts w:hint="default"/>
        <w:lang w:val="en-US" w:eastAsia="en-US" w:bidi="ar-SA"/>
      </w:rPr>
    </w:lvl>
    <w:lvl w:ilvl="8" w:tplc="52F01E26">
      <w:numFmt w:val="bullet"/>
      <w:lvlText w:val="•"/>
      <w:lvlJc w:val="left"/>
      <w:pPr>
        <w:ind w:left="4246" w:hanging="236"/>
      </w:pPr>
      <w:rPr>
        <w:rFonts w:hint="default"/>
        <w:lang w:val="en-US" w:eastAsia="en-US" w:bidi="ar-SA"/>
      </w:rPr>
    </w:lvl>
  </w:abstractNum>
  <w:abstractNum w:abstractNumId="7" w15:restartNumberingAfterBreak="0">
    <w:nsid w:val="3E087E26"/>
    <w:multiLevelType w:val="multilevel"/>
    <w:tmpl w:val="B4F6F280"/>
    <w:lvl w:ilvl="0">
      <w:start w:val="1"/>
      <w:numFmt w:val="upperRoman"/>
      <w:suff w:val="space"/>
      <w:lvlText w:val="%1."/>
      <w:lvlJc w:val="left"/>
      <w:pPr>
        <w:ind w:left="0" w:firstLine="0"/>
      </w:pPr>
      <w:rPr>
        <w:rFonts w:hint="default"/>
      </w:rPr>
    </w:lvl>
    <w:lvl w:ilvl="1">
      <w:start w:val="1"/>
      <w:numFmt w:val="upp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9684DB4"/>
    <w:multiLevelType w:val="multilevel"/>
    <w:tmpl w:val="B4F6F280"/>
    <w:lvl w:ilvl="0">
      <w:start w:val="1"/>
      <w:numFmt w:val="upperRoman"/>
      <w:suff w:val="space"/>
      <w:lvlText w:val="%1."/>
      <w:lvlJc w:val="left"/>
      <w:pPr>
        <w:ind w:left="0" w:firstLine="0"/>
      </w:pPr>
      <w:rPr>
        <w:rFonts w:hint="default"/>
      </w:rPr>
    </w:lvl>
    <w:lvl w:ilvl="1">
      <w:start w:val="1"/>
      <w:numFmt w:val="upp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30561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618068">
    <w:abstractNumId w:val="3"/>
  </w:num>
  <w:num w:numId="2" w16cid:durableId="841775235">
    <w:abstractNumId w:val="5"/>
  </w:num>
  <w:num w:numId="3" w16cid:durableId="1752239077">
    <w:abstractNumId w:val="6"/>
  </w:num>
  <w:num w:numId="4" w16cid:durableId="775515124">
    <w:abstractNumId w:val="0"/>
  </w:num>
  <w:num w:numId="5" w16cid:durableId="780877940">
    <w:abstractNumId w:val="9"/>
  </w:num>
  <w:num w:numId="6" w16cid:durableId="1657689223">
    <w:abstractNumId w:val="2"/>
  </w:num>
  <w:num w:numId="7" w16cid:durableId="470638622">
    <w:abstractNumId w:val="1"/>
  </w:num>
  <w:num w:numId="8" w16cid:durableId="1566329911">
    <w:abstractNumId w:val="4"/>
  </w:num>
  <w:num w:numId="9" w16cid:durableId="200241327">
    <w:abstractNumId w:val="7"/>
  </w:num>
  <w:num w:numId="10" w16cid:durableId="8017303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735"/>
    <w:rsid w:val="000476ED"/>
    <w:rsid w:val="0006236F"/>
    <w:rsid w:val="00080AC0"/>
    <w:rsid w:val="000C6D31"/>
    <w:rsid w:val="000D0EAE"/>
    <w:rsid w:val="00114BFA"/>
    <w:rsid w:val="001B3345"/>
    <w:rsid w:val="00221CA3"/>
    <w:rsid w:val="0029167E"/>
    <w:rsid w:val="00296CBF"/>
    <w:rsid w:val="002A35FF"/>
    <w:rsid w:val="002C5003"/>
    <w:rsid w:val="002E0D54"/>
    <w:rsid w:val="00323142"/>
    <w:rsid w:val="0032468F"/>
    <w:rsid w:val="003869EC"/>
    <w:rsid w:val="003968AB"/>
    <w:rsid w:val="003D6D54"/>
    <w:rsid w:val="004049B1"/>
    <w:rsid w:val="0043769A"/>
    <w:rsid w:val="0044787A"/>
    <w:rsid w:val="00451414"/>
    <w:rsid w:val="0045550C"/>
    <w:rsid w:val="004652DB"/>
    <w:rsid w:val="00477FFB"/>
    <w:rsid w:val="004C4305"/>
    <w:rsid w:val="004C79B8"/>
    <w:rsid w:val="004E0480"/>
    <w:rsid w:val="004E25D8"/>
    <w:rsid w:val="005179FA"/>
    <w:rsid w:val="005439E8"/>
    <w:rsid w:val="00591808"/>
    <w:rsid w:val="0061196A"/>
    <w:rsid w:val="00616533"/>
    <w:rsid w:val="00636E0A"/>
    <w:rsid w:val="0068180B"/>
    <w:rsid w:val="00692EC0"/>
    <w:rsid w:val="006979F9"/>
    <w:rsid w:val="00697B6B"/>
    <w:rsid w:val="006A1803"/>
    <w:rsid w:val="006C6735"/>
    <w:rsid w:val="00761D0A"/>
    <w:rsid w:val="007B084C"/>
    <w:rsid w:val="007B664C"/>
    <w:rsid w:val="007F6735"/>
    <w:rsid w:val="00824A69"/>
    <w:rsid w:val="00835C19"/>
    <w:rsid w:val="00842D3A"/>
    <w:rsid w:val="00855CC6"/>
    <w:rsid w:val="008B09B4"/>
    <w:rsid w:val="008C65C6"/>
    <w:rsid w:val="008E2467"/>
    <w:rsid w:val="0092176F"/>
    <w:rsid w:val="00941FC8"/>
    <w:rsid w:val="00961C62"/>
    <w:rsid w:val="00972B17"/>
    <w:rsid w:val="0099544E"/>
    <w:rsid w:val="00996B2F"/>
    <w:rsid w:val="009B5D34"/>
    <w:rsid w:val="009D5B84"/>
    <w:rsid w:val="009E2334"/>
    <w:rsid w:val="009E2443"/>
    <w:rsid w:val="00A13373"/>
    <w:rsid w:val="00A869BC"/>
    <w:rsid w:val="00A91933"/>
    <w:rsid w:val="00AB63B3"/>
    <w:rsid w:val="00B47F83"/>
    <w:rsid w:val="00BC4371"/>
    <w:rsid w:val="00BF281F"/>
    <w:rsid w:val="00C122E8"/>
    <w:rsid w:val="00C146EF"/>
    <w:rsid w:val="00C22A34"/>
    <w:rsid w:val="00C74DA2"/>
    <w:rsid w:val="00C94BB2"/>
    <w:rsid w:val="00CD0A9E"/>
    <w:rsid w:val="00CF17E5"/>
    <w:rsid w:val="00D04097"/>
    <w:rsid w:val="00D25AD7"/>
    <w:rsid w:val="00D97AAD"/>
    <w:rsid w:val="00E032B5"/>
    <w:rsid w:val="00E10916"/>
    <w:rsid w:val="00E37290"/>
    <w:rsid w:val="00E63593"/>
    <w:rsid w:val="00E64B62"/>
    <w:rsid w:val="00F009ED"/>
    <w:rsid w:val="00F05C21"/>
    <w:rsid w:val="00F659AE"/>
    <w:rsid w:val="00F7712B"/>
    <w:rsid w:val="00FC062F"/>
    <w:rsid w:val="00FD6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3EAFF"/>
  <w15:docId w15:val="{484A61B4-0827-451E-8DCF-ED3B90F07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64C"/>
    <w:pPr>
      <w:widowControl/>
      <w:autoSpaceDE/>
      <w:autoSpaceDN/>
    </w:pPr>
    <w:rPr>
      <w:rFonts w:ascii="Times New Roman" w:eastAsia="Times New Roman" w:hAnsi="Times New Roman" w:cs="Times New Roman"/>
      <w:sz w:val="24"/>
      <w:szCs w:val="24"/>
    </w:rPr>
  </w:style>
  <w:style w:type="paragraph" w:styleId="Heading1">
    <w:name w:val="heading 1"/>
    <w:basedOn w:val="Normal"/>
    <w:uiPriority w:val="9"/>
    <w:qFormat/>
    <w:pPr>
      <w:spacing w:before="63"/>
      <w:ind w:left="988" w:right="708" w:firstLine="1099"/>
      <w:outlineLvl w:val="0"/>
    </w:pPr>
    <w:rPr>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
      <w:ind w:left="187"/>
      <w:jc w:val="both"/>
    </w:pPr>
    <w:rPr>
      <w:sz w:val="20"/>
      <w:szCs w:val="20"/>
    </w:rPr>
  </w:style>
  <w:style w:type="paragraph" w:styleId="ListParagraph">
    <w:name w:val="List Paragraph"/>
    <w:basedOn w:val="Normal"/>
    <w:uiPriority w:val="1"/>
    <w:qFormat/>
    <w:pPr>
      <w:ind w:left="547"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10916"/>
    <w:rPr>
      <w:color w:val="0000FF" w:themeColor="hyperlink"/>
      <w:u w:val="single"/>
    </w:rPr>
  </w:style>
  <w:style w:type="character" w:styleId="UnresolvedMention">
    <w:name w:val="Unresolved Mention"/>
    <w:basedOn w:val="DefaultParagraphFont"/>
    <w:uiPriority w:val="99"/>
    <w:semiHidden/>
    <w:unhideWhenUsed/>
    <w:rsid w:val="00E10916"/>
    <w:rPr>
      <w:color w:val="605E5C"/>
      <w:shd w:val="clear" w:color="auto" w:fill="E1DFDD"/>
    </w:rPr>
  </w:style>
  <w:style w:type="paragraph" w:styleId="Caption">
    <w:name w:val="caption"/>
    <w:basedOn w:val="Normal"/>
    <w:next w:val="Normal"/>
    <w:uiPriority w:val="35"/>
    <w:unhideWhenUsed/>
    <w:qFormat/>
    <w:rsid w:val="00F05C21"/>
    <w:pPr>
      <w:spacing w:after="200"/>
    </w:pPr>
    <w:rPr>
      <w:i/>
      <w:iCs/>
      <w:color w:val="1F497D" w:themeColor="text2"/>
      <w:sz w:val="18"/>
      <w:szCs w:val="18"/>
    </w:rPr>
  </w:style>
  <w:style w:type="paragraph" w:styleId="Revision">
    <w:name w:val="Revision"/>
    <w:hidden/>
    <w:uiPriority w:val="99"/>
    <w:semiHidden/>
    <w:rsid w:val="00692EC0"/>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92EC0"/>
    <w:rPr>
      <w:sz w:val="16"/>
      <w:szCs w:val="16"/>
    </w:rPr>
  </w:style>
  <w:style w:type="paragraph" w:styleId="CommentText">
    <w:name w:val="annotation text"/>
    <w:basedOn w:val="Normal"/>
    <w:link w:val="CommentTextChar"/>
    <w:uiPriority w:val="99"/>
    <w:unhideWhenUsed/>
    <w:rsid w:val="00692EC0"/>
    <w:rPr>
      <w:sz w:val="20"/>
      <w:szCs w:val="20"/>
    </w:rPr>
  </w:style>
  <w:style w:type="character" w:customStyle="1" w:styleId="CommentTextChar">
    <w:name w:val="Comment Text Char"/>
    <w:basedOn w:val="DefaultParagraphFont"/>
    <w:link w:val="CommentText"/>
    <w:uiPriority w:val="99"/>
    <w:rsid w:val="00692EC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92EC0"/>
    <w:rPr>
      <w:b/>
      <w:bCs/>
    </w:rPr>
  </w:style>
  <w:style w:type="character" w:customStyle="1" w:styleId="CommentSubjectChar">
    <w:name w:val="Comment Subject Char"/>
    <w:basedOn w:val="CommentTextChar"/>
    <w:link w:val="CommentSubject"/>
    <w:uiPriority w:val="99"/>
    <w:semiHidden/>
    <w:rsid w:val="00692EC0"/>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EFE3E-2F07-4905-8154-E33F67D3D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1839</Words>
  <Characters>10172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Microsoft Word - sample-ms.doc</vt:lpstr>
    </vt:vector>
  </TitlesOfParts>
  <Company/>
  <LinksUpToDate>false</LinksUpToDate>
  <CharactersWithSpaces>11974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sample-ms.doc</dc:title>
  <dc:creator>Janis Stevenson</dc:creator>
  <cp:lastModifiedBy>Joseph Picone</cp:lastModifiedBy>
  <cp:revision>4</cp:revision>
  <cp:lastPrinted>2026-02-20T12:31:00Z</cp:lastPrinted>
  <dcterms:created xsi:type="dcterms:W3CDTF">2026-02-20T12:27:00Z</dcterms:created>
  <dcterms:modified xsi:type="dcterms:W3CDTF">2026-02-20T12:39:00Z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2007-12-04T00:00:00Z</vt:filetime>
  </property>
  <property fmtid="{D5CDD505-2E9C-101B-9397-08002B2CF9AE}" pid="3" name="Creator">
    <vt:lpwstr>PScript5.dll Version 5.2</vt:lpwstr>
  </property>
  <property fmtid="{D5CDD505-2E9C-101B-9397-08002B2CF9AE}" pid="4" name="LastSaved">
    <vt:filetime>2026-02-15T00:00:00Z</vt:filetime>
  </property>
  <property fmtid="{D5CDD505-2E9C-101B-9397-08002B2CF9AE}" pid="5" name="Producer">
    <vt:lpwstr>Acrobat Distiller 5.0.5 (Windows)</vt:lpwstr>
  </property>
</Properties>
</file>