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E7D" w14:textId="5B865E48" w:rsidR="000F540B" w:rsidRPr="00EF724F" w:rsidRDefault="000F540B" w:rsidP="000F540B">
      <w:pPr>
        <w:jc w:val="center"/>
        <w:rPr>
          <w:rFonts w:ascii="Times New Roman" w:eastAsia="Times New Roman" w:hAnsi="Times New Roman" w:cs="Times New Roman"/>
          <w:b/>
          <w:sz w:val="22"/>
          <w:szCs w:val="22"/>
        </w:rPr>
      </w:pPr>
      <w:r w:rsidRPr="00EF724F">
        <w:rPr>
          <w:rFonts w:ascii="Times New Roman" w:eastAsia="Times New Roman" w:hAnsi="Times New Roman" w:cs="Times New Roman"/>
          <w:b/>
          <w:sz w:val="22"/>
          <w:szCs w:val="22"/>
        </w:rPr>
        <w:t xml:space="preserve">IEEE SPMB 2023: Change </w:t>
      </w:r>
      <w:r w:rsidR="00F918CD" w:rsidRPr="00EF724F">
        <w:rPr>
          <w:rFonts w:ascii="Times New Roman" w:eastAsia="Times New Roman" w:hAnsi="Times New Roman" w:cs="Times New Roman"/>
          <w:b/>
          <w:sz w:val="22"/>
          <w:szCs w:val="22"/>
        </w:rPr>
        <w:t>Summary</w:t>
      </w:r>
    </w:p>
    <w:p w14:paraId="040F4537" w14:textId="77777777" w:rsidR="000F540B" w:rsidRPr="00EF724F" w:rsidRDefault="000F540B" w:rsidP="00C4729F">
      <w:pPr>
        <w:spacing w:after="240"/>
        <w:rPr>
          <w:rFonts w:ascii="Times New Roman" w:eastAsia="Times New Roman" w:hAnsi="Times New Roman" w:cs="Times New Roman"/>
          <w:sz w:val="22"/>
          <w:szCs w:val="22"/>
        </w:rPr>
      </w:pPr>
      <w:r w:rsidRPr="00EF724F">
        <w:rPr>
          <w:rFonts w:ascii="Times New Roman" w:eastAsia="Times New Roman" w:hAnsi="Times New Roman" w:cs="Times New Roman"/>
          <w:b/>
          <w:sz w:val="22"/>
          <w:szCs w:val="22"/>
        </w:rPr>
        <w:t xml:space="preserve">Submission Type: </w:t>
      </w:r>
      <w:r w:rsidRPr="00EF724F">
        <w:rPr>
          <w:rFonts w:ascii="Times New Roman" w:eastAsia="Times New Roman" w:hAnsi="Times New Roman" w:cs="Times New Roman"/>
          <w:sz w:val="22"/>
          <w:szCs w:val="22"/>
        </w:rPr>
        <w:t xml:space="preserve"> Abstract</w:t>
      </w:r>
    </w:p>
    <w:p w14:paraId="0CE1C779" w14:textId="23C3F429" w:rsidR="00F918CD" w:rsidRPr="00EF724F" w:rsidRDefault="000F540B" w:rsidP="00C4729F">
      <w:pPr>
        <w:spacing w:after="240"/>
        <w:rPr>
          <w:rFonts w:ascii="Times New Roman" w:eastAsia="Times New Roman" w:hAnsi="Times New Roman" w:cs="Times New Roman"/>
          <w:b/>
          <w:sz w:val="22"/>
          <w:szCs w:val="22"/>
        </w:rPr>
      </w:pPr>
      <w:r w:rsidRPr="00EF724F">
        <w:rPr>
          <w:rFonts w:ascii="Times New Roman" w:eastAsia="Times New Roman" w:hAnsi="Times New Roman" w:cs="Times New Roman"/>
          <w:b/>
          <w:sz w:val="22"/>
          <w:szCs w:val="22"/>
        </w:rPr>
        <w:t xml:space="preserve">Abstract No. A003: </w:t>
      </w:r>
      <w:r w:rsidRPr="00EF724F">
        <w:rPr>
          <w:rFonts w:ascii="Times New Roman" w:eastAsia="Times New Roman" w:hAnsi="Times New Roman" w:cs="Times New Roman"/>
          <w:sz w:val="22"/>
          <w:szCs w:val="22"/>
        </w:rPr>
        <w:t>An Evaluation of SMILE on the TUSZ Corpus</w:t>
      </w:r>
    </w:p>
    <w:p w14:paraId="6A8EE736" w14:textId="1551B8F5" w:rsidR="00623B3D" w:rsidRPr="00EF724F" w:rsidRDefault="00623B3D" w:rsidP="00C4729F">
      <w:pPr>
        <w:spacing w:after="240"/>
        <w:rPr>
          <w:rFonts w:ascii="Times New Roman" w:eastAsia="Times New Roman" w:hAnsi="Times New Roman" w:cs="Times New Roman"/>
          <w:b/>
          <w:bCs/>
          <w:sz w:val="22"/>
          <w:szCs w:val="22"/>
        </w:rPr>
      </w:pPr>
      <w:r w:rsidRPr="00EF724F">
        <w:rPr>
          <w:rFonts w:ascii="Times New Roman" w:eastAsia="Times New Roman" w:hAnsi="Times New Roman" w:cs="Times New Roman"/>
          <w:b/>
          <w:bCs/>
          <w:sz w:val="22"/>
          <w:szCs w:val="22"/>
        </w:rPr>
        <w:t>Reviewer 1:</w:t>
      </w:r>
    </w:p>
    <w:p w14:paraId="0C82F1D6" w14:textId="655A169D" w:rsidR="000C00D2" w:rsidRPr="00EF724F" w:rsidRDefault="00AA0DA4" w:rsidP="00C4729F">
      <w:pPr>
        <w:spacing w:after="240"/>
        <w:jc w:val="both"/>
        <w:rPr>
          <w:rFonts w:ascii="Times New Roman" w:eastAsia="Times New Roman" w:hAnsi="Times New Roman" w:cs="Times New Roman"/>
          <w:bCs/>
          <w:sz w:val="22"/>
          <w:szCs w:val="22"/>
          <w:u w:val="single"/>
        </w:rPr>
      </w:pPr>
      <w:r w:rsidRPr="00EF724F">
        <w:rPr>
          <w:rFonts w:ascii="Times New Roman" w:eastAsia="Times New Roman" w:hAnsi="Times New Roman" w:cs="Times New Roman"/>
          <w:sz w:val="22"/>
          <w:szCs w:val="22"/>
          <w:u w:val="single"/>
        </w:rPr>
        <w:t>“</w:t>
      </w:r>
      <w:r w:rsidR="00521F4D" w:rsidRPr="00EF724F">
        <w:rPr>
          <w:rFonts w:ascii="Times New Roman" w:eastAsia="Times New Roman" w:hAnsi="Times New Roman" w:cs="Times New Roman"/>
          <w:bCs/>
          <w:sz w:val="22"/>
          <w:szCs w:val="22"/>
          <w:u w:val="single"/>
        </w:rPr>
        <w:t>The abstract could be improved by providing more details about the evaluation methodology. For example, it would be helpful to know the ML algorithms</w:t>
      </w:r>
      <w:r w:rsidR="009469FC" w:rsidRPr="00EF724F">
        <w:rPr>
          <w:rFonts w:ascii="Times New Roman" w:eastAsia="Times New Roman" w:hAnsi="Times New Roman" w:cs="Times New Roman"/>
          <w:bCs/>
          <w:sz w:val="22"/>
          <w:szCs w:val="22"/>
          <w:u w:val="single"/>
        </w:rPr>
        <w:t>”.</w:t>
      </w:r>
    </w:p>
    <w:p w14:paraId="700AA0B7" w14:textId="3BDD0492" w:rsidR="000C00D2" w:rsidRPr="00EF724F" w:rsidRDefault="00A36272" w:rsidP="00C4729F">
      <w:pPr>
        <w:spacing w:after="240"/>
        <w:rPr>
          <w:rFonts w:ascii="Times New Roman" w:hAnsi="Times New Roman" w:cs="Times New Roman"/>
          <w:sz w:val="22"/>
          <w:szCs w:val="22"/>
          <w:lang w:val="en"/>
        </w:rPr>
      </w:pPr>
      <w:r>
        <w:rPr>
          <w:rFonts w:ascii="Times New Roman" w:eastAsia="Times New Roman" w:hAnsi="Times New Roman" w:cs="Times New Roman"/>
          <w:bCs/>
          <w:sz w:val="22"/>
          <w:szCs w:val="22"/>
        </w:rPr>
        <w:t>The abstract was modified significantly to help address these kinds of concerns</w:t>
      </w:r>
      <w:r w:rsidR="00E468B7" w:rsidRPr="00EF724F">
        <w:rPr>
          <w:rFonts w:ascii="Times New Roman" w:hAnsi="Times New Roman" w:cs="Times New Roman"/>
          <w:sz w:val="22"/>
          <w:szCs w:val="22"/>
          <w:lang w:val="en"/>
        </w:rPr>
        <w:t>.</w:t>
      </w:r>
      <w:r>
        <w:rPr>
          <w:rFonts w:ascii="Times New Roman" w:hAnsi="Times New Roman" w:cs="Times New Roman"/>
          <w:sz w:val="22"/>
          <w:szCs w:val="22"/>
          <w:lang w:val="en"/>
        </w:rPr>
        <w:t xml:space="preserve"> The third paragraph specifically addresses this concern.</w:t>
      </w:r>
    </w:p>
    <w:p w14:paraId="68B19603" w14:textId="49CE66AD" w:rsidR="009469FC" w:rsidRPr="00EF724F" w:rsidRDefault="009469FC" w:rsidP="00C4729F">
      <w:pPr>
        <w:spacing w:after="240"/>
        <w:jc w:val="both"/>
        <w:rPr>
          <w:rFonts w:ascii="Times New Roman" w:eastAsia="Times New Roman" w:hAnsi="Times New Roman" w:cs="Times New Roman"/>
          <w:bCs/>
          <w:sz w:val="22"/>
          <w:szCs w:val="22"/>
          <w:u w:val="single"/>
        </w:rPr>
      </w:pPr>
      <w:r w:rsidRPr="00EF724F">
        <w:rPr>
          <w:rFonts w:ascii="Times New Roman" w:hAnsi="Times New Roman" w:cs="Times New Roman"/>
          <w:sz w:val="22"/>
          <w:szCs w:val="22"/>
          <w:lang w:val="en"/>
        </w:rPr>
        <w:t>“</w:t>
      </w:r>
      <w:proofErr w:type="gramStart"/>
      <w:r w:rsidRPr="00EF724F">
        <w:rPr>
          <w:rFonts w:ascii="Times New Roman" w:eastAsia="Times New Roman" w:hAnsi="Times New Roman" w:cs="Times New Roman"/>
          <w:bCs/>
          <w:sz w:val="22"/>
          <w:szCs w:val="22"/>
          <w:u w:val="single"/>
        </w:rPr>
        <w:t>and</w:t>
      </w:r>
      <w:proofErr w:type="gramEnd"/>
      <w:r w:rsidRPr="00EF724F">
        <w:rPr>
          <w:rFonts w:ascii="Times New Roman" w:eastAsia="Times New Roman" w:hAnsi="Times New Roman" w:cs="Times New Roman"/>
          <w:bCs/>
          <w:sz w:val="22"/>
          <w:szCs w:val="22"/>
          <w:u w:val="single"/>
        </w:rPr>
        <w:t xml:space="preserve"> how the data was split into training, development, and evaluation sets.”</w:t>
      </w:r>
    </w:p>
    <w:p w14:paraId="2A777C5B" w14:textId="77777777" w:rsidR="00A36272" w:rsidRDefault="00A36272" w:rsidP="00C4729F">
      <w:pPr>
        <w:spacing w:after="240"/>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The database is referenced here:</w:t>
      </w:r>
    </w:p>
    <w:p w14:paraId="61302F7E" w14:textId="341FC219" w:rsidR="00A36272" w:rsidRPr="00C4729F" w:rsidRDefault="00A36272" w:rsidP="00C4729F">
      <w:pPr>
        <w:spacing w:after="240"/>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r w:rsidRPr="00C4729F">
        <w:rPr>
          <w:rFonts w:ascii="Times New Roman" w:eastAsia="Times New Roman" w:hAnsi="Times New Roman" w:cs="Times New Roman"/>
          <w:bCs/>
          <w:sz w:val="22"/>
          <w:szCs w:val="22"/>
        </w:rPr>
        <w:t xml:space="preserve">In this abstract, we present an evaluation of SMILE on the well-known Temple University Hospital Seizure Corpus (TUSZ) </w:t>
      </w:r>
      <w:r w:rsidRPr="00C4729F">
        <w:rPr>
          <w:rFonts w:ascii="Times New Roman" w:eastAsia="Times New Roman" w:hAnsi="Times New Roman" w:cs="Times New Roman"/>
          <w:bCs/>
          <w:sz w:val="22"/>
          <w:szCs w:val="22"/>
        </w:rPr>
        <w:fldChar w:fldCharType="begin"/>
      </w:r>
      <w:r w:rsidRPr="00C4729F">
        <w:rPr>
          <w:rFonts w:ascii="Times New Roman" w:eastAsia="Times New Roman" w:hAnsi="Times New Roman" w:cs="Times New Roman"/>
          <w:bCs/>
          <w:sz w:val="22"/>
          <w:szCs w:val="22"/>
        </w:rPr>
        <w:instrText xml:space="preserve"> REF _Ref137844883 \r </w:instrText>
      </w:r>
      <w:r w:rsidR="00C4729F">
        <w:rPr>
          <w:rFonts w:ascii="Times New Roman" w:eastAsia="Times New Roman" w:hAnsi="Times New Roman" w:cs="Times New Roman"/>
          <w:bCs/>
          <w:sz w:val="22"/>
          <w:szCs w:val="22"/>
        </w:rPr>
        <w:instrText xml:space="preserve"> \* MERGEFORMAT </w:instrText>
      </w:r>
      <w:r w:rsidRPr="00C4729F">
        <w:rPr>
          <w:rFonts w:ascii="Times New Roman" w:eastAsia="Times New Roman" w:hAnsi="Times New Roman" w:cs="Times New Roman"/>
          <w:bCs/>
          <w:sz w:val="22"/>
          <w:szCs w:val="22"/>
        </w:rPr>
        <w:fldChar w:fldCharType="separate"/>
      </w:r>
      <w:r w:rsidRPr="00C4729F">
        <w:rPr>
          <w:rFonts w:ascii="Times New Roman" w:eastAsia="Times New Roman" w:hAnsi="Times New Roman" w:cs="Times New Roman"/>
          <w:bCs/>
          <w:sz w:val="22"/>
          <w:szCs w:val="22"/>
        </w:rPr>
        <w:t>[3]</w:t>
      </w:r>
      <w:r w:rsidRPr="00C4729F">
        <w:rPr>
          <w:rFonts w:ascii="Times New Roman" w:eastAsia="Times New Roman" w:hAnsi="Times New Roman" w:cs="Times New Roman"/>
          <w:bCs/>
          <w:sz w:val="22"/>
          <w:szCs w:val="22"/>
        </w:rPr>
        <w:fldChar w:fldCharType="end"/>
      </w:r>
      <w:r w:rsidRPr="00C4729F">
        <w:rPr>
          <w:rFonts w:ascii="Times New Roman" w:eastAsia="Times New Roman" w:hAnsi="Times New Roman" w:cs="Times New Roman"/>
          <w:bCs/>
          <w:sz w:val="22"/>
          <w:szCs w:val="22"/>
        </w:rPr>
        <w:t>.</w:t>
      </w:r>
      <w:r w:rsidRPr="00C4729F">
        <w:rPr>
          <w:rFonts w:ascii="Times New Roman" w:eastAsia="Times New Roman" w:hAnsi="Times New Roman" w:cs="Times New Roman"/>
          <w:bCs/>
          <w:sz w:val="22"/>
          <w:szCs w:val="22"/>
        </w:rPr>
        <w:t>”</w:t>
      </w:r>
    </w:p>
    <w:p w14:paraId="282B338B" w14:textId="1AF9B745" w:rsidR="009469FC" w:rsidRPr="00EF724F" w:rsidRDefault="00C4729F" w:rsidP="00C4729F">
      <w:pPr>
        <w:spacing w:after="240"/>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database construction is described in this </w:t>
      </w:r>
      <w:proofErr w:type="spellStart"/>
      <w:r>
        <w:rPr>
          <w:rFonts w:ascii="Times New Roman" w:eastAsia="Times New Roman" w:hAnsi="Times New Roman" w:cs="Times New Roman"/>
          <w:bCs/>
          <w:sz w:val="22"/>
          <w:szCs w:val="22"/>
        </w:rPr>
        <w:t>publication.</w:t>
      </w:r>
      <w:proofErr w:type="spellEnd"/>
      <w:r>
        <w:rPr>
          <w:rFonts w:ascii="Times New Roman" w:eastAsia="Times New Roman" w:hAnsi="Times New Roman" w:cs="Times New Roman"/>
          <w:bCs/>
          <w:sz w:val="22"/>
          <w:szCs w:val="22"/>
        </w:rPr>
        <w:t xml:space="preserve"> Since this is an abstract, these kinds of details do not need detailed discussion. This corpus has been in use for many years.</w:t>
      </w:r>
    </w:p>
    <w:p w14:paraId="1CD09203" w14:textId="166F284B" w:rsidR="00521F4D" w:rsidRPr="00EF724F" w:rsidRDefault="00521F4D" w:rsidP="00C4729F">
      <w:pPr>
        <w:spacing w:after="240"/>
        <w:rPr>
          <w:rFonts w:ascii="Times New Roman" w:hAnsi="Times New Roman" w:cs="Times New Roman"/>
          <w:b/>
          <w:bCs/>
          <w:sz w:val="22"/>
          <w:szCs w:val="22"/>
          <w:lang w:val="en"/>
        </w:rPr>
      </w:pPr>
      <w:r w:rsidRPr="00EF724F">
        <w:rPr>
          <w:rFonts w:ascii="Times New Roman" w:hAnsi="Times New Roman" w:cs="Times New Roman"/>
          <w:b/>
          <w:bCs/>
          <w:sz w:val="22"/>
          <w:szCs w:val="22"/>
          <w:lang w:val="en"/>
        </w:rPr>
        <w:t>Reviewer 2:</w:t>
      </w:r>
    </w:p>
    <w:p w14:paraId="4C59E70F" w14:textId="620020FC" w:rsidR="00C47B2E" w:rsidRPr="00EF724F" w:rsidRDefault="00687831" w:rsidP="00C4729F">
      <w:pPr>
        <w:spacing w:after="240"/>
        <w:rPr>
          <w:rFonts w:ascii="Times New Roman" w:eastAsia="Times New Roman" w:hAnsi="Times New Roman" w:cs="Times New Roman"/>
          <w:bCs/>
          <w:sz w:val="22"/>
          <w:szCs w:val="22"/>
          <w:u w:val="single"/>
        </w:rPr>
      </w:pPr>
      <w:r w:rsidRPr="00EF724F">
        <w:rPr>
          <w:rFonts w:ascii="Times New Roman" w:eastAsia="Times New Roman" w:hAnsi="Times New Roman" w:cs="Times New Roman"/>
          <w:bCs/>
          <w:sz w:val="22"/>
          <w:szCs w:val="22"/>
          <w:u w:val="single"/>
        </w:rPr>
        <w:t>“Clearly state the contribution of this abstract.”</w:t>
      </w:r>
    </w:p>
    <w:p w14:paraId="6826367F" w14:textId="0C3EF234" w:rsidR="00687831" w:rsidRPr="00EF724F" w:rsidRDefault="00C4729F" w:rsidP="00C4729F">
      <w:pPr>
        <w:spacing w:after="24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We </w:t>
      </w:r>
      <w:proofErr w:type="spellStart"/>
      <w:r>
        <w:rPr>
          <w:rFonts w:ascii="Times New Roman" w:eastAsia="Times New Roman" w:hAnsi="Times New Roman" w:cs="Times New Roman"/>
          <w:bCs/>
          <w:sz w:val="22"/>
          <w:szCs w:val="22"/>
        </w:rPr>
        <w:t>addresss</w:t>
      </w:r>
      <w:proofErr w:type="spellEnd"/>
      <w:r>
        <w:rPr>
          <w:rFonts w:ascii="Times New Roman" w:eastAsia="Times New Roman" w:hAnsi="Times New Roman" w:cs="Times New Roman"/>
          <w:bCs/>
          <w:sz w:val="22"/>
          <w:szCs w:val="22"/>
        </w:rPr>
        <w:t xml:space="preserve"> this in the second paragraph of the abstract.</w:t>
      </w:r>
    </w:p>
    <w:p w14:paraId="544B0EA7" w14:textId="630E0B06" w:rsidR="00AA0DA4" w:rsidRPr="00EF724F" w:rsidRDefault="00356D92" w:rsidP="00C4729F">
      <w:pPr>
        <w:spacing w:after="240"/>
        <w:rPr>
          <w:rFonts w:ascii="Times New Roman" w:eastAsia="Times New Roman" w:hAnsi="Times New Roman" w:cs="Times New Roman"/>
          <w:bCs/>
          <w:sz w:val="22"/>
          <w:szCs w:val="22"/>
          <w:u w:val="single"/>
        </w:rPr>
      </w:pPr>
      <w:r w:rsidRPr="00EF724F">
        <w:rPr>
          <w:rFonts w:ascii="Times New Roman" w:eastAsia="Times New Roman" w:hAnsi="Times New Roman" w:cs="Times New Roman"/>
          <w:bCs/>
          <w:sz w:val="22"/>
          <w:szCs w:val="22"/>
          <w:u w:val="single"/>
        </w:rPr>
        <w:t>“Provide a reference about NEDC ResNet-18 system.”</w:t>
      </w:r>
    </w:p>
    <w:p w14:paraId="5CA66BB6" w14:textId="6A48DC9E" w:rsidR="00356D92" w:rsidRPr="00EF724F" w:rsidRDefault="00C4729F" w:rsidP="00C4729F">
      <w:pPr>
        <w:spacing w:after="24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Done – </w:t>
      </w:r>
      <w:proofErr w:type="spellStart"/>
      <w:r>
        <w:rPr>
          <w:rFonts w:ascii="Times New Roman" w:eastAsia="Times New Roman" w:hAnsi="Times New Roman" w:cs="Times New Roman"/>
          <w:bCs/>
          <w:sz w:val="22"/>
          <w:szCs w:val="22"/>
        </w:rPr>
        <w:t>pleae</w:t>
      </w:r>
      <w:proofErr w:type="spellEnd"/>
      <w:r>
        <w:rPr>
          <w:rFonts w:ascii="Times New Roman" w:eastAsia="Times New Roman" w:hAnsi="Times New Roman" w:cs="Times New Roman"/>
          <w:bCs/>
          <w:sz w:val="22"/>
          <w:szCs w:val="22"/>
        </w:rPr>
        <w:t xml:space="preserve"> see the third paragraph.</w:t>
      </w:r>
    </w:p>
    <w:p w14:paraId="7F38848A" w14:textId="1BA75E4D" w:rsidR="00E84392" w:rsidRPr="00EF724F" w:rsidRDefault="00E84392" w:rsidP="00C4729F">
      <w:pPr>
        <w:spacing w:after="240"/>
        <w:rPr>
          <w:rFonts w:ascii="Times New Roman" w:eastAsia="Times New Roman" w:hAnsi="Times New Roman" w:cs="Times New Roman"/>
          <w:bCs/>
          <w:sz w:val="22"/>
          <w:szCs w:val="22"/>
          <w:u w:val="single"/>
        </w:rPr>
      </w:pPr>
      <w:r w:rsidRPr="00EF724F">
        <w:rPr>
          <w:rFonts w:ascii="Times New Roman" w:eastAsia="Times New Roman" w:hAnsi="Times New Roman" w:cs="Times New Roman"/>
          <w:bCs/>
          <w:sz w:val="22"/>
          <w:szCs w:val="22"/>
          <w:u w:val="single"/>
        </w:rPr>
        <w:t>“</w:t>
      </w:r>
      <w:r w:rsidR="00014B71" w:rsidRPr="00EF724F">
        <w:rPr>
          <w:rFonts w:ascii="Times New Roman" w:eastAsia="Times New Roman" w:hAnsi="Times New Roman" w:cs="Times New Roman"/>
          <w:bCs/>
          <w:sz w:val="22"/>
          <w:szCs w:val="22"/>
          <w:u w:val="single"/>
        </w:rPr>
        <w:t>It would be easier to read if there is a mention somewhere that ‘FP rate’ stands for ‘false positive rate’.”</w:t>
      </w:r>
    </w:p>
    <w:p w14:paraId="3680CF81" w14:textId="3BB59274" w:rsidR="00014B71" w:rsidRPr="00EF724F" w:rsidRDefault="00C4729F" w:rsidP="00C4729F">
      <w:pPr>
        <w:spacing w:after="24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FP is defined in the second paragraph. We made the terminology </w:t>
      </w:r>
      <w:proofErr w:type="spellStart"/>
      <w:r>
        <w:rPr>
          <w:rFonts w:ascii="Times New Roman" w:eastAsia="Times New Roman" w:hAnsi="Times New Roman" w:cs="Times New Roman"/>
          <w:bCs/>
          <w:sz w:val="22"/>
          <w:szCs w:val="22"/>
        </w:rPr>
        <w:t xml:space="preserve">consistent. </w:t>
      </w:r>
      <w:proofErr w:type="spellEnd"/>
      <w:r>
        <w:rPr>
          <w:rFonts w:ascii="Times New Roman" w:eastAsia="Times New Roman" w:hAnsi="Times New Roman" w:cs="Times New Roman"/>
          <w:bCs/>
          <w:sz w:val="22"/>
          <w:szCs w:val="22"/>
        </w:rPr>
        <w:t>False alarm rate is no longer used. FP Rate is also discussed in reference [6].</w:t>
      </w:r>
    </w:p>
    <w:p w14:paraId="0C0370A9" w14:textId="7BF54546" w:rsidR="00011471" w:rsidRPr="00EF724F" w:rsidRDefault="00011471" w:rsidP="00C4729F">
      <w:pPr>
        <w:spacing w:after="240"/>
        <w:rPr>
          <w:rFonts w:ascii="Times New Roman" w:eastAsia="Times New Roman" w:hAnsi="Times New Roman" w:cs="Times New Roman"/>
          <w:b/>
          <w:sz w:val="22"/>
          <w:szCs w:val="22"/>
        </w:rPr>
      </w:pPr>
      <w:r w:rsidRPr="00EF724F">
        <w:rPr>
          <w:rFonts w:ascii="Times New Roman" w:eastAsia="Times New Roman" w:hAnsi="Times New Roman" w:cs="Times New Roman"/>
          <w:b/>
          <w:sz w:val="22"/>
          <w:szCs w:val="22"/>
        </w:rPr>
        <w:t>Reviewer 3:</w:t>
      </w:r>
    </w:p>
    <w:p w14:paraId="7EAEE99A" w14:textId="6E390B47" w:rsidR="00011471" w:rsidRPr="00EF724F" w:rsidRDefault="00011471" w:rsidP="00C4729F">
      <w:pPr>
        <w:spacing w:after="240"/>
        <w:rPr>
          <w:rFonts w:ascii="Times New Roman" w:eastAsia="Times New Roman" w:hAnsi="Times New Roman" w:cs="Times New Roman"/>
          <w:bCs/>
          <w:sz w:val="22"/>
          <w:szCs w:val="22"/>
          <w:u w:val="single"/>
        </w:rPr>
      </w:pPr>
      <w:r w:rsidRPr="00EF724F">
        <w:rPr>
          <w:rFonts w:ascii="Times New Roman" w:eastAsia="Times New Roman" w:hAnsi="Times New Roman" w:cs="Times New Roman"/>
          <w:bCs/>
          <w:sz w:val="22"/>
          <w:szCs w:val="22"/>
          <w:u w:val="single"/>
        </w:rPr>
        <w:t xml:space="preserve">“NEDC ResNet 18 was not defined at all in the text or even </w:t>
      </w:r>
      <w:proofErr w:type="gramStart"/>
      <w:r w:rsidRPr="00EF724F">
        <w:rPr>
          <w:rFonts w:ascii="Times New Roman" w:eastAsia="Times New Roman" w:hAnsi="Times New Roman" w:cs="Times New Roman"/>
          <w:bCs/>
          <w:sz w:val="22"/>
          <w:szCs w:val="22"/>
          <w:u w:val="single"/>
        </w:rPr>
        <w:t>referenced</w:t>
      </w:r>
      <w:proofErr w:type="gramEnd"/>
      <w:r w:rsidR="00473E29" w:rsidRPr="00EF724F">
        <w:rPr>
          <w:rFonts w:ascii="Times New Roman" w:eastAsia="Times New Roman" w:hAnsi="Times New Roman" w:cs="Times New Roman"/>
          <w:bCs/>
          <w:sz w:val="22"/>
          <w:szCs w:val="22"/>
          <w:u w:val="single"/>
        </w:rPr>
        <w:t>”</w:t>
      </w:r>
    </w:p>
    <w:p w14:paraId="60F3777F" w14:textId="5C105DC7" w:rsidR="00473E29" w:rsidRPr="00EF724F" w:rsidRDefault="001E4CB7" w:rsidP="00C4729F">
      <w:pPr>
        <w:spacing w:after="24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P</w:t>
      </w:r>
      <w:r w:rsidR="002A4C34" w:rsidRPr="00EF724F">
        <w:rPr>
          <w:rFonts w:ascii="Times New Roman" w:eastAsia="Times New Roman" w:hAnsi="Times New Roman" w:cs="Times New Roman"/>
          <w:bCs/>
          <w:sz w:val="22"/>
          <w:szCs w:val="22"/>
        </w:rPr>
        <w:t>aragraph</w:t>
      </w:r>
      <w:r w:rsidR="00473E29" w:rsidRPr="00EF724F">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3 </w:t>
      </w:r>
      <w:r w:rsidR="00473E29" w:rsidRPr="00EF724F">
        <w:rPr>
          <w:rFonts w:ascii="Times New Roman" w:eastAsia="Times New Roman" w:hAnsi="Times New Roman" w:cs="Times New Roman"/>
          <w:bCs/>
          <w:sz w:val="22"/>
          <w:szCs w:val="22"/>
        </w:rPr>
        <w:t>has been created to describe the NEDC ResNet-18 system. A reference has also been added.</w:t>
      </w:r>
    </w:p>
    <w:p w14:paraId="4E5C3117" w14:textId="2444F47B" w:rsidR="000D0B23" w:rsidRPr="00EF724F" w:rsidRDefault="000D0B23" w:rsidP="00C4729F">
      <w:pPr>
        <w:spacing w:after="240"/>
        <w:rPr>
          <w:rFonts w:ascii="Times New Roman" w:eastAsia="Times New Roman" w:hAnsi="Times New Roman" w:cs="Times New Roman"/>
          <w:sz w:val="22"/>
          <w:szCs w:val="22"/>
          <w:u w:val="single"/>
        </w:rPr>
      </w:pPr>
      <w:r w:rsidRPr="00EF724F">
        <w:rPr>
          <w:rFonts w:ascii="Times New Roman" w:eastAsia="Times New Roman" w:hAnsi="Times New Roman" w:cs="Times New Roman"/>
          <w:sz w:val="22"/>
          <w:szCs w:val="22"/>
          <w:u w:val="single"/>
        </w:rPr>
        <w:t xml:space="preserve">“In one part of the paper, it is mentioned ‘… The solution to this is to utilize the Linux workload manager, Slurm’. I don’t think the solution to computational expenses is the use of a free software like Slurm. Slurm is just a software that can help in easily operating and managing the workload on </w:t>
      </w:r>
      <w:proofErr w:type="gramStart"/>
      <w:r w:rsidRPr="00EF724F">
        <w:rPr>
          <w:rFonts w:ascii="Times New Roman" w:eastAsia="Times New Roman" w:hAnsi="Times New Roman" w:cs="Times New Roman"/>
          <w:sz w:val="22"/>
          <w:szCs w:val="22"/>
          <w:u w:val="single"/>
        </w:rPr>
        <w:t>a</w:t>
      </w:r>
      <w:proofErr w:type="gramEnd"/>
      <w:r w:rsidRPr="00EF724F">
        <w:rPr>
          <w:rFonts w:ascii="Times New Roman" w:eastAsia="Times New Roman" w:hAnsi="Times New Roman" w:cs="Times New Roman"/>
          <w:sz w:val="22"/>
          <w:szCs w:val="22"/>
          <w:u w:val="single"/>
        </w:rPr>
        <w:t xml:space="preserve"> HPC. The specifications of the HPC ( CPU cluster as mentioned) should be clearly defined.’</w:t>
      </w:r>
    </w:p>
    <w:p w14:paraId="61187682" w14:textId="2591C4C8" w:rsidR="006D4583" w:rsidRPr="00EF724F" w:rsidRDefault="00964861" w:rsidP="00C4729F">
      <w:pPr>
        <w:spacing w:after="240"/>
        <w:rPr>
          <w:rFonts w:ascii="Times New Roman" w:eastAsia="Times New Roman" w:hAnsi="Times New Roman" w:cs="Times New Roman"/>
          <w:sz w:val="22"/>
          <w:szCs w:val="22"/>
        </w:rPr>
      </w:pPr>
      <w:r w:rsidRPr="00EF724F">
        <w:rPr>
          <w:rFonts w:ascii="Times New Roman" w:eastAsia="Times New Roman" w:hAnsi="Times New Roman" w:cs="Times New Roman"/>
          <w:sz w:val="22"/>
          <w:szCs w:val="22"/>
        </w:rPr>
        <w:t>They</w:t>
      </w:r>
      <w:r w:rsidR="000850B2">
        <w:rPr>
          <w:rFonts w:ascii="Times New Roman" w:eastAsia="Times New Roman" w:hAnsi="Times New Roman" w:cs="Times New Roman"/>
          <w:sz w:val="22"/>
          <w:szCs w:val="22"/>
        </w:rPr>
        <w:t xml:space="preserve"> text</w:t>
      </w:r>
      <w:r w:rsidRPr="00EF724F">
        <w:rPr>
          <w:rFonts w:ascii="Times New Roman" w:eastAsia="Times New Roman" w:hAnsi="Times New Roman" w:cs="Times New Roman"/>
          <w:sz w:val="22"/>
          <w:szCs w:val="22"/>
        </w:rPr>
        <w:t xml:space="preserve"> was modified to </w:t>
      </w:r>
      <w:r w:rsidR="006D4583" w:rsidRPr="00EF724F">
        <w:rPr>
          <w:rFonts w:ascii="Times New Roman" w:eastAsia="Times New Roman" w:hAnsi="Times New Roman" w:cs="Times New Roman"/>
          <w:sz w:val="22"/>
          <w:szCs w:val="22"/>
        </w:rPr>
        <w:t>address th</w:t>
      </w:r>
      <w:r w:rsidR="00C4729F">
        <w:rPr>
          <w:rFonts w:ascii="Times New Roman" w:eastAsia="Times New Roman" w:hAnsi="Times New Roman" w:cs="Times New Roman"/>
          <w:sz w:val="22"/>
          <w:szCs w:val="22"/>
        </w:rPr>
        <w:t xml:space="preserve">is </w:t>
      </w:r>
      <w:r w:rsidR="006D4583" w:rsidRPr="00EF724F">
        <w:rPr>
          <w:rFonts w:ascii="Times New Roman" w:eastAsia="Times New Roman" w:hAnsi="Times New Roman" w:cs="Times New Roman"/>
          <w:sz w:val="22"/>
          <w:szCs w:val="22"/>
        </w:rPr>
        <w:t>concern:</w:t>
      </w:r>
    </w:p>
    <w:p w14:paraId="62E1590B" w14:textId="6B9026DB" w:rsidR="00964861" w:rsidRPr="00C4729F" w:rsidRDefault="00964861"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eastAsia="Times New Roman" w:hAnsi="Times New Roman" w:cs="Times New Roman"/>
          <w:sz w:val="22"/>
          <w:szCs w:val="22"/>
        </w:rPr>
      </w:pPr>
      <w:r w:rsidRPr="00EF724F">
        <w:rPr>
          <w:rFonts w:ascii="Times New Roman" w:eastAsia="Times New Roman" w:hAnsi="Times New Roman" w:cs="Times New Roman"/>
          <w:sz w:val="22"/>
          <w:szCs w:val="22"/>
        </w:rPr>
        <w:lastRenderedPageBreak/>
        <w:t>“</w:t>
      </w:r>
      <w:r w:rsidR="00C4729F" w:rsidRPr="00C4729F">
        <w:rPr>
          <w:rFonts w:ascii="Times New Roman" w:eastAsia="Times New Roman" w:hAnsi="Times New Roman" w:cs="Times New Roman"/>
          <w:sz w:val="22"/>
          <w:szCs w:val="22"/>
        </w:rPr>
        <w:t xml:space="preserve">However, SMILE only runs single-threaded out of the box. While this is not a problem with a small data set, large databases such as TUSZ can take several days to complete. The solution is to utilize a high-performance compute cluster, like the NEDC NeuroNix server </w:t>
      </w:r>
      <w:r w:rsidR="00C4729F" w:rsidRPr="00C4729F">
        <w:rPr>
          <w:rFonts w:ascii="Times New Roman" w:eastAsia="Times New Roman" w:hAnsi="Times New Roman" w:cs="Times New Roman"/>
          <w:sz w:val="22"/>
          <w:szCs w:val="22"/>
        </w:rPr>
        <w:fldChar w:fldCharType="begin"/>
      </w:r>
      <w:r w:rsidR="00C4729F" w:rsidRPr="00C4729F">
        <w:rPr>
          <w:rFonts w:ascii="Times New Roman" w:eastAsia="Times New Roman" w:hAnsi="Times New Roman" w:cs="Times New Roman"/>
          <w:sz w:val="22"/>
          <w:szCs w:val="22"/>
        </w:rPr>
        <w:instrText xml:space="preserve"> REF _Ref148431401 \n </w:instrText>
      </w:r>
      <w:r w:rsidR="00C4729F">
        <w:rPr>
          <w:rFonts w:ascii="Times New Roman" w:eastAsia="Times New Roman" w:hAnsi="Times New Roman" w:cs="Times New Roman"/>
          <w:sz w:val="22"/>
          <w:szCs w:val="22"/>
        </w:rPr>
        <w:instrText xml:space="preserve"> \* MERGEFORMAT </w:instrText>
      </w:r>
      <w:r w:rsidR="00C4729F" w:rsidRPr="00C4729F">
        <w:rPr>
          <w:rFonts w:ascii="Times New Roman" w:eastAsia="Times New Roman" w:hAnsi="Times New Roman" w:cs="Times New Roman"/>
          <w:sz w:val="22"/>
          <w:szCs w:val="22"/>
        </w:rPr>
        <w:fldChar w:fldCharType="separate"/>
      </w:r>
      <w:r w:rsidR="00C4729F" w:rsidRPr="00C4729F">
        <w:rPr>
          <w:rFonts w:ascii="Times New Roman" w:eastAsia="Times New Roman" w:hAnsi="Times New Roman" w:cs="Times New Roman"/>
          <w:sz w:val="22"/>
          <w:szCs w:val="22"/>
        </w:rPr>
        <w:t>[8]</w:t>
      </w:r>
      <w:r w:rsidR="00C4729F" w:rsidRPr="00C4729F">
        <w:rPr>
          <w:rFonts w:ascii="Times New Roman" w:eastAsia="Times New Roman" w:hAnsi="Times New Roman" w:cs="Times New Roman"/>
          <w:sz w:val="22"/>
          <w:szCs w:val="22"/>
        </w:rPr>
        <w:fldChar w:fldCharType="end"/>
      </w:r>
      <w:r w:rsidR="00C4729F" w:rsidRPr="00C4729F">
        <w:rPr>
          <w:rFonts w:ascii="Times New Roman" w:eastAsia="Times New Roman" w:hAnsi="Times New Roman" w:cs="Times New Roman"/>
          <w:sz w:val="22"/>
          <w:szCs w:val="22"/>
        </w:rPr>
        <w:t xml:space="preserve">, in tandem with a workload manager, like Slurm </w:t>
      </w:r>
      <w:r w:rsidR="00C4729F" w:rsidRPr="00C4729F">
        <w:rPr>
          <w:rFonts w:ascii="Times New Roman" w:eastAsia="Times New Roman" w:hAnsi="Times New Roman" w:cs="Times New Roman"/>
          <w:sz w:val="22"/>
          <w:szCs w:val="22"/>
        </w:rPr>
        <w:fldChar w:fldCharType="begin"/>
      </w:r>
      <w:r w:rsidR="00C4729F" w:rsidRPr="00C4729F">
        <w:rPr>
          <w:rFonts w:ascii="Times New Roman" w:eastAsia="Times New Roman" w:hAnsi="Times New Roman" w:cs="Times New Roman"/>
          <w:sz w:val="22"/>
          <w:szCs w:val="22"/>
        </w:rPr>
        <w:instrText xml:space="preserve"> REF _Ref139189858 \n </w:instrText>
      </w:r>
      <w:r w:rsidR="00C4729F">
        <w:rPr>
          <w:rFonts w:ascii="Times New Roman" w:eastAsia="Times New Roman" w:hAnsi="Times New Roman" w:cs="Times New Roman"/>
          <w:sz w:val="22"/>
          <w:szCs w:val="22"/>
        </w:rPr>
        <w:instrText xml:space="preserve"> \* MERGEFORMAT </w:instrText>
      </w:r>
      <w:r w:rsidR="00C4729F" w:rsidRPr="00C4729F">
        <w:rPr>
          <w:rFonts w:ascii="Times New Roman" w:eastAsia="Times New Roman" w:hAnsi="Times New Roman" w:cs="Times New Roman"/>
          <w:sz w:val="22"/>
          <w:szCs w:val="22"/>
        </w:rPr>
        <w:fldChar w:fldCharType="separate"/>
      </w:r>
      <w:r w:rsidR="00C4729F" w:rsidRPr="00C4729F">
        <w:rPr>
          <w:rFonts w:ascii="Times New Roman" w:eastAsia="Times New Roman" w:hAnsi="Times New Roman" w:cs="Times New Roman"/>
          <w:sz w:val="22"/>
          <w:szCs w:val="22"/>
        </w:rPr>
        <w:t>[9]</w:t>
      </w:r>
      <w:r w:rsidR="00C4729F" w:rsidRPr="00C4729F">
        <w:rPr>
          <w:rFonts w:ascii="Times New Roman" w:eastAsia="Times New Roman" w:hAnsi="Times New Roman" w:cs="Times New Roman"/>
          <w:sz w:val="22"/>
          <w:szCs w:val="22"/>
        </w:rPr>
        <w:fldChar w:fldCharType="end"/>
      </w:r>
      <w:r w:rsidR="00C4729F" w:rsidRPr="00C4729F">
        <w:rPr>
          <w:rFonts w:ascii="Times New Roman" w:eastAsia="Times New Roman" w:hAnsi="Times New Roman" w:cs="Times New Roman"/>
          <w:sz w:val="22"/>
          <w:szCs w:val="22"/>
        </w:rPr>
        <w:t>. Through a compute cluster and a workload manager, the SMILE wrapper can be run across the hundreds of CPU cores on the NEDC NeuroNix server, completing the database in only a few hours. The TUSZ database was split into slices containing about 25 EDF files, with each slice running as its own, independent process. To make this work, SMILE had to be modified so that its intermediary file locations were no longer hard coded, with each EDF slice storing its output in a unique directory. From here, the slices are regrouped and scored as development, evaluation, and training datasets.</w:t>
      </w:r>
      <w:r w:rsidR="00C4729F" w:rsidRPr="00C4729F">
        <w:rPr>
          <w:rFonts w:ascii="Times New Roman" w:eastAsia="Times New Roman" w:hAnsi="Times New Roman" w:cs="Times New Roman"/>
          <w:sz w:val="22"/>
          <w:szCs w:val="22"/>
        </w:rPr>
        <w:t>”</w:t>
      </w:r>
    </w:p>
    <w:p w14:paraId="5B930FA7" w14:textId="7FD6BF38" w:rsidR="00D81602" w:rsidRPr="00EF724F" w:rsidRDefault="00D81602" w:rsidP="00C4729F">
      <w:pPr>
        <w:spacing w:after="240"/>
        <w:rPr>
          <w:rFonts w:ascii="Times New Roman" w:eastAsia="Times New Roman" w:hAnsi="Times New Roman" w:cs="Times New Roman"/>
          <w:bCs/>
          <w:sz w:val="22"/>
          <w:szCs w:val="22"/>
          <w:u w:val="single"/>
        </w:rPr>
      </w:pPr>
      <w:r w:rsidRPr="00EF724F">
        <w:rPr>
          <w:rFonts w:ascii="Times New Roman" w:eastAsia="Times New Roman" w:hAnsi="Times New Roman" w:cs="Times New Roman"/>
          <w:sz w:val="22"/>
          <w:szCs w:val="22"/>
          <w:u w:val="single"/>
        </w:rPr>
        <w:t>“</w:t>
      </w:r>
      <w:r w:rsidRPr="00EF724F">
        <w:rPr>
          <w:rFonts w:ascii="Times New Roman" w:eastAsia="Times New Roman" w:hAnsi="Times New Roman" w:cs="Times New Roman"/>
          <w:bCs/>
          <w:sz w:val="22"/>
          <w:szCs w:val="22"/>
          <w:u w:val="single"/>
        </w:rPr>
        <w:t xml:space="preserve">Define evaluation and development </w:t>
      </w:r>
      <w:proofErr w:type="gramStart"/>
      <w:r w:rsidRPr="00EF724F">
        <w:rPr>
          <w:rFonts w:ascii="Times New Roman" w:eastAsia="Times New Roman" w:hAnsi="Times New Roman" w:cs="Times New Roman"/>
          <w:bCs/>
          <w:sz w:val="22"/>
          <w:szCs w:val="22"/>
          <w:u w:val="single"/>
        </w:rPr>
        <w:t>data</w:t>
      </w:r>
      <w:proofErr w:type="gramEnd"/>
      <w:r w:rsidRPr="00EF724F">
        <w:rPr>
          <w:rFonts w:ascii="Times New Roman" w:eastAsia="Times New Roman" w:hAnsi="Times New Roman" w:cs="Times New Roman"/>
          <w:bCs/>
          <w:sz w:val="22"/>
          <w:szCs w:val="22"/>
          <w:u w:val="single"/>
        </w:rPr>
        <w:t>”</w:t>
      </w:r>
    </w:p>
    <w:p w14:paraId="49C73054" w14:textId="77777777" w:rsidR="005B1A38" w:rsidRPr="00EF724F" w:rsidRDefault="00D81602"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eastAsia="Times New Roman" w:hAnsi="Times New Roman" w:cs="Times New Roman"/>
          <w:bCs/>
          <w:sz w:val="22"/>
          <w:szCs w:val="22"/>
        </w:rPr>
      </w:pPr>
      <w:r w:rsidRPr="00EF724F">
        <w:rPr>
          <w:rFonts w:ascii="Times New Roman" w:eastAsia="Times New Roman" w:hAnsi="Times New Roman" w:cs="Times New Roman"/>
          <w:bCs/>
          <w:sz w:val="22"/>
          <w:szCs w:val="22"/>
        </w:rPr>
        <w:t>A new paragraph was added to discuss the roles of the TUSZ training, development, and evaluation sets.</w:t>
      </w:r>
      <w:r w:rsidR="001F0C70" w:rsidRPr="00EF724F">
        <w:rPr>
          <w:rFonts w:ascii="Times New Roman" w:eastAsia="Times New Roman" w:hAnsi="Times New Roman" w:cs="Times New Roman"/>
          <w:bCs/>
          <w:sz w:val="22"/>
          <w:szCs w:val="22"/>
        </w:rPr>
        <w:t xml:space="preserve"> </w:t>
      </w:r>
    </w:p>
    <w:p w14:paraId="36D54B7C" w14:textId="64F9AC7A" w:rsidR="00D81602" w:rsidRPr="00C4729F" w:rsidRDefault="001F0C70"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eastAsia="Times New Roman" w:hAnsi="Times New Roman" w:cs="Times New Roman"/>
          <w:sz w:val="22"/>
          <w:szCs w:val="22"/>
        </w:rPr>
      </w:pPr>
      <w:r w:rsidRPr="00C4729F">
        <w:rPr>
          <w:rFonts w:ascii="Times New Roman" w:eastAsia="Times New Roman" w:hAnsi="Times New Roman" w:cs="Times New Roman"/>
          <w:sz w:val="22"/>
          <w:szCs w:val="22"/>
        </w:rPr>
        <w:t>“</w:t>
      </w:r>
      <w:r w:rsidR="00C4729F" w:rsidRPr="00C4729F">
        <w:rPr>
          <w:rFonts w:ascii="Times New Roman" w:eastAsia="Times New Roman" w:hAnsi="Times New Roman" w:cs="Times New Roman"/>
          <w:sz w:val="22"/>
          <w:szCs w:val="22"/>
        </w:rPr>
        <w:t>A performance assessment of SMILE was conducted using TUSZ's evaluation and development datasets. TUSZ </w:t>
      </w:r>
      <w:r w:rsidR="00C4729F" w:rsidRPr="00C4729F">
        <w:rPr>
          <w:rFonts w:ascii="Times New Roman" w:eastAsia="Times New Roman" w:hAnsi="Times New Roman" w:cs="Times New Roman"/>
          <w:sz w:val="22"/>
          <w:szCs w:val="22"/>
        </w:rPr>
        <w:fldChar w:fldCharType="begin"/>
      </w:r>
      <w:r w:rsidR="00C4729F" w:rsidRPr="00C4729F">
        <w:rPr>
          <w:rFonts w:ascii="Times New Roman" w:eastAsia="Times New Roman" w:hAnsi="Times New Roman" w:cs="Times New Roman"/>
          <w:sz w:val="22"/>
          <w:szCs w:val="22"/>
        </w:rPr>
        <w:instrText xml:space="preserve"> REF _Ref137844883 \n </w:instrText>
      </w:r>
      <w:r w:rsidR="00C4729F">
        <w:rPr>
          <w:rFonts w:ascii="Times New Roman" w:eastAsia="Times New Roman" w:hAnsi="Times New Roman" w:cs="Times New Roman"/>
          <w:sz w:val="22"/>
          <w:szCs w:val="22"/>
        </w:rPr>
        <w:instrText xml:space="preserve"> \* MERGEFORMAT </w:instrText>
      </w:r>
      <w:r w:rsidR="00C4729F" w:rsidRPr="00C4729F">
        <w:rPr>
          <w:rFonts w:ascii="Times New Roman" w:eastAsia="Times New Roman" w:hAnsi="Times New Roman" w:cs="Times New Roman"/>
          <w:sz w:val="22"/>
          <w:szCs w:val="22"/>
        </w:rPr>
        <w:fldChar w:fldCharType="separate"/>
      </w:r>
      <w:r w:rsidR="00C4729F" w:rsidRPr="00C4729F">
        <w:rPr>
          <w:rFonts w:ascii="Times New Roman" w:eastAsia="Times New Roman" w:hAnsi="Times New Roman" w:cs="Times New Roman"/>
          <w:sz w:val="22"/>
          <w:szCs w:val="22"/>
        </w:rPr>
        <w:t>[3]</w:t>
      </w:r>
      <w:r w:rsidR="00C4729F" w:rsidRPr="00C4729F">
        <w:rPr>
          <w:rFonts w:ascii="Times New Roman" w:eastAsia="Times New Roman" w:hAnsi="Times New Roman" w:cs="Times New Roman"/>
          <w:sz w:val="22"/>
          <w:szCs w:val="22"/>
        </w:rPr>
        <w:fldChar w:fldCharType="end"/>
      </w:r>
      <w:r w:rsidR="00C4729F" w:rsidRPr="00C4729F">
        <w:rPr>
          <w:rFonts w:ascii="Times New Roman" w:eastAsia="Times New Roman" w:hAnsi="Times New Roman" w:cs="Times New Roman"/>
          <w:sz w:val="22"/>
          <w:szCs w:val="22"/>
        </w:rPr>
        <w:t xml:space="preserve"> is divided into three distinct datasets, namely, evaluation, development, and training based on an attempt to balance </w:t>
      </w:r>
      <w:proofErr w:type="gramStart"/>
      <w:r w:rsidR="00C4729F" w:rsidRPr="00C4729F">
        <w:rPr>
          <w:rFonts w:ascii="Times New Roman" w:eastAsia="Times New Roman" w:hAnsi="Times New Roman" w:cs="Times New Roman"/>
          <w:sz w:val="22"/>
          <w:szCs w:val="22"/>
        </w:rPr>
        <w:t>a number of</w:t>
      </w:r>
      <w:proofErr w:type="gramEnd"/>
      <w:r w:rsidR="00C4729F" w:rsidRPr="00C4729F">
        <w:rPr>
          <w:rFonts w:ascii="Times New Roman" w:eastAsia="Times New Roman" w:hAnsi="Times New Roman" w:cs="Times New Roman"/>
          <w:sz w:val="22"/>
          <w:szCs w:val="22"/>
        </w:rPr>
        <w:t xml:space="preserve"> demographic and metadata features of the corpus. The training dataset is typically used to adjust parameters to optimize performance on the development dataset. The evaluation set is treated as a blind dataset and is exclusively employed for model accuracy evaluation. Parameters are not adjusted to maximize performance on the evaluation set.</w:t>
      </w:r>
      <w:r w:rsidR="005B1A38" w:rsidRPr="00C4729F">
        <w:rPr>
          <w:rFonts w:ascii="Times New Roman" w:eastAsia="Times New Roman" w:hAnsi="Times New Roman" w:cs="Times New Roman"/>
          <w:sz w:val="22"/>
          <w:szCs w:val="22"/>
        </w:rPr>
        <w:t>”</w:t>
      </w:r>
    </w:p>
    <w:p w14:paraId="3977B56A" w14:textId="73317018" w:rsidR="00A7729E" w:rsidRPr="00EF724F" w:rsidRDefault="00A76C99" w:rsidP="00C4729F">
      <w:pPr>
        <w:spacing w:after="240"/>
        <w:rPr>
          <w:rFonts w:ascii="Times New Roman" w:hAnsi="Times New Roman" w:cs="Times New Roman"/>
          <w:sz w:val="22"/>
          <w:szCs w:val="22"/>
          <w:u w:val="single"/>
        </w:rPr>
      </w:pPr>
      <w:r w:rsidRPr="00EF724F">
        <w:rPr>
          <w:rFonts w:ascii="Times New Roman" w:hAnsi="Times New Roman" w:cs="Times New Roman"/>
          <w:sz w:val="22"/>
          <w:szCs w:val="22"/>
          <w:u w:val="single"/>
        </w:rPr>
        <w:t>“</w:t>
      </w:r>
      <w:proofErr w:type="spellStart"/>
      <w:r w:rsidRPr="00EF724F">
        <w:rPr>
          <w:rFonts w:ascii="Times New Roman" w:hAnsi="Times New Roman" w:cs="Times New Roman"/>
          <w:sz w:val="22"/>
          <w:szCs w:val="22"/>
          <w:u w:val="single"/>
        </w:rPr>
        <w:t>Analyse</w:t>
      </w:r>
      <w:proofErr w:type="spellEnd"/>
      <w:r w:rsidRPr="00EF724F">
        <w:rPr>
          <w:rFonts w:ascii="Times New Roman" w:hAnsi="Times New Roman" w:cs="Times New Roman"/>
          <w:sz w:val="22"/>
          <w:szCs w:val="22"/>
          <w:u w:val="single"/>
        </w:rPr>
        <w:t xml:space="preserve"> the datasets used to train the SPaRCNet and NEDC ResNet-18 and compare with the TUSZ.”</w:t>
      </w:r>
    </w:p>
    <w:p w14:paraId="5B7EB091" w14:textId="77C0C32A" w:rsidR="00C4729F" w:rsidRDefault="00C4729F" w:rsidP="00C4729F">
      <w:pPr>
        <w:spacing w:after="240"/>
        <w:rPr>
          <w:rFonts w:ascii="Times New Roman" w:hAnsi="Times New Roman" w:cs="Times New Roman"/>
          <w:sz w:val="22"/>
          <w:szCs w:val="22"/>
        </w:rPr>
      </w:pPr>
      <w:r>
        <w:rPr>
          <w:rFonts w:ascii="Times New Roman" w:hAnsi="Times New Roman" w:cs="Times New Roman"/>
          <w:sz w:val="22"/>
          <w:szCs w:val="22"/>
        </w:rPr>
        <w:t>This paragraph has been rewritten to address this.</w:t>
      </w:r>
    </w:p>
    <w:p w14:paraId="02EBD199" w14:textId="4EC44B04" w:rsidR="002B5970" w:rsidRPr="00EF724F" w:rsidRDefault="002B5970" w:rsidP="00C4729F">
      <w:pPr>
        <w:spacing w:after="240"/>
        <w:rPr>
          <w:rFonts w:ascii="Times New Roman" w:hAnsi="Times New Roman" w:cs="Times New Roman"/>
          <w:sz w:val="22"/>
          <w:szCs w:val="22"/>
          <w:u w:val="single"/>
        </w:rPr>
      </w:pPr>
      <w:r w:rsidRPr="00EF724F">
        <w:rPr>
          <w:rFonts w:ascii="Times New Roman" w:hAnsi="Times New Roman" w:cs="Times New Roman"/>
          <w:sz w:val="22"/>
          <w:szCs w:val="22"/>
          <w:u w:val="single"/>
        </w:rPr>
        <w:t>“I believe TUSZ has different montage systems (such as unipolar or bipolar) as well as different subgroups (AR, LE, AR A). which system has been used and why?”</w:t>
      </w:r>
    </w:p>
    <w:p w14:paraId="0E4EF4DB" w14:textId="67315466" w:rsidR="00746EA3" w:rsidRPr="00EF724F" w:rsidRDefault="00C4729F" w:rsidP="00C4729F">
      <w:pPr>
        <w:spacing w:after="240"/>
        <w:rPr>
          <w:rFonts w:ascii="Times New Roman" w:hAnsi="Times New Roman" w:cs="Times New Roman"/>
          <w:sz w:val="22"/>
          <w:szCs w:val="22"/>
        </w:rPr>
      </w:pPr>
      <w:r>
        <w:rPr>
          <w:rFonts w:ascii="Times New Roman" w:hAnsi="Times New Roman" w:cs="Times New Roman"/>
          <w:sz w:val="22"/>
          <w:szCs w:val="22"/>
        </w:rPr>
        <w:t>We reworked this paragraph:</w:t>
      </w:r>
    </w:p>
    <w:p w14:paraId="4CED8407" w14:textId="4BC03E55" w:rsidR="006D6987" w:rsidRDefault="00EA4C57"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eastAsia="Times New Roman" w:hAnsi="Times New Roman" w:cs="Times New Roman"/>
          <w:sz w:val="22"/>
          <w:szCs w:val="22"/>
        </w:rPr>
      </w:pPr>
      <w:r w:rsidRPr="00C4729F">
        <w:rPr>
          <w:rFonts w:ascii="Times New Roman" w:eastAsia="Times New Roman" w:hAnsi="Times New Roman" w:cs="Times New Roman"/>
          <w:sz w:val="22"/>
          <w:szCs w:val="22"/>
        </w:rPr>
        <w:t>“</w:t>
      </w:r>
      <w:r w:rsidR="00C4729F" w:rsidRPr="00C4729F">
        <w:rPr>
          <w:rFonts w:ascii="Times New Roman" w:eastAsia="Times New Roman" w:hAnsi="Times New Roman" w:cs="Times New Roman"/>
          <w:sz w:val="22"/>
          <w:szCs w:val="22"/>
        </w:rPr>
        <w:t xml:space="preserve">Before the SMILE system can evaluate TUSZ data, the channels that SMILE EDFs use must be appropriately mapped to channels that TUSZ uses. The TUH Corpus contains over </w:t>
      </w:r>
      <m:oMath>
        <m:r>
          <m:rPr>
            <m:sty m:val="p"/>
          </m:rPr>
          <w:rPr>
            <w:rFonts w:ascii="Cambria Math" w:eastAsia="Times New Roman" w:hAnsi="Cambria Math" w:cs="Times New Roman"/>
            <w:sz w:val="22"/>
            <w:szCs w:val="22"/>
          </w:rPr>
          <m:t>40</m:t>
        </m:r>
      </m:oMath>
      <w:r w:rsidR="00C4729F" w:rsidRPr="00C4729F">
        <w:rPr>
          <w:rFonts w:ascii="Times New Roman" w:eastAsia="Times New Roman" w:hAnsi="Times New Roman" w:cs="Times New Roman"/>
          <w:sz w:val="22"/>
          <w:szCs w:val="22"/>
        </w:rPr>
        <w:t xml:space="preserve"> unique channel combinations and four different electrode configurations </w:t>
      </w:r>
      <w:r w:rsidR="00C4729F" w:rsidRPr="00C4729F">
        <w:rPr>
          <w:rFonts w:ascii="Times New Roman" w:eastAsia="Times New Roman" w:hAnsi="Times New Roman" w:cs="Times New Roman"/>
          <w:sz w:val="22"/>
          <w:szCs w:val="22"/>
        </w:rPr>
        <w:fldChar w:fldCharType="begin"/>
      </w:r>
      <w:r w:rsidR="00C4729F" w:rsidRPr="00C4729F">
        <w:rPr>
          <w:rFonts w:ascii="Times New Roman" w:eastAsia="Times New Roman" w:hAnsi="Times New Roman" w:cs="Times New Roman"/>
          <w:sz w:val="22"/>
          <w:szCs w:val="22"/>
        </w:rPr>
        <w:instrText xml:space="preserve"> REF _Ref148431699 \n </w:instrText>
      </w:r>
      <w:r w:rsidR="00C4729F">
        <w:rPr>
          <w:rFonts w:ascii="Times New Roman" w:eastAsia="Times New Roman" w:hAnsi="Times New Roman" w:cs="Times New Roman"/>
          <w:sz w:val="22"/>
          <w:szCs w:val="22"/>
        </w:rPr>
        <w:instrText xml:space="preserve"> \* MERGEFORMAT </w:instrText>
      </w:r>
      <w:r w:rsidR="00C4729F" w:rsidRPr="00C4729F">
        <w:rPr>
          <w:rFonts w:ascii="Times New Roman" w:eastAsia="Times New Roman" w:hAnsi="Times New Roman" w:cs="Times New Roman"/>
          <w:sz w:val="22"/>
          <w:szCs w:val="22"/>
        </w:rPr>
        <w:fldChar w:fldCharType="separate"/>
      </w:r>
      <w:r w:rsidR="00C4729F" w:rsidRPr="00C4729F">
        <w:rPr>
          <w:rFonts w:ascii="Times New Roman" w:eastAsia="Times New Roman" w:hAnsi="Times New Roman" w:cs="Times New Roman"/>
          <w:sz w:val="22"/>
          <w:szCs w:val="22"/>
        </w:rPr>
        <w:t>[10]</w:t>
      </w:r>
      <w:r w:rsidR="00C4729F" w:rsidRPr="00C4729F">
        <w:rPr>
          <w:rFonts w:ascii="Times New Roman" w:eastAsia="Times New Roman" w:hAnsi="Times New Roman" w:cs="Times New Roman"/>
          <w:sz w:val="22"/>
          <w:szCs w:val="22"/>
        </w:rPr>
        <w:fldChar w:fldCharType="end"/>
      </w:r>
      <w:r w:rsidR="00C4729F" w:rsidRPr="00C4729F">
        <w:rPr>
          <w:rFonts w:ascii="Times New Roman" w:eastAsia="Times New Roman" w:hAnsi="Times New Roman" w:cs="Times New Roman"/>
          <w:sz w:val="22"/>
          <w:szCs w:val="22"/>
        </w:rPr>
        <w:t>. SMILE’s lookup table found in the “channel_mappings.mat” file was modified to include channel labels found in TUSZ data. These labels are mapped in SMILE’s preprocess step which prepares TUSZ data for use of SMILE’s custom montage.</w:t>
      </w:r>
      <w:r w:rsidRPr="00C4729F">
        <w:rPr>
          <w:rFonts w:ascii="Times New Roman" w:eastAsia="Times New Roman" w:hAnsi="Times New Roman" w:cs="Times New Roman"/>
          <w:sz w:val="22"/>
          <w:szCs w:val="22"/>
        </w:rPr>
        <w:t>”</w:t>
      </w:r>
    </w:p>
    <w:p w14:paraId="3EA56BB1" w14:textId="350CCEB2" w:rsidR="00C4729F" w:rsidRPr="00C4729F" w:rsidRDefault="00C4729F"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address this concern.</w:t>
      </w:r>
    </w:p>
    <w:p w14:paraId="77562DA7" w14:textId="1C5BEABC" w:rsidR="00E3008F" w:rsidRDefault="00E3008F"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hAnsi="Times New Roman" w:cs="Times New Roman"/>
          <w:sz w:val="22"/>
          <w:szCs w:val="22"/>
          <w:u w:val="single"/>
          <w:lang w:val="en"/>
        </w:rPr>
      </w:pPr>
      <w:r>
        <w:rPr>
          <w:rFonts w:ascii="Times New Roman" w:hAnsi="Times New Roman" w:cs="Times New Roman"/>
          <w:sz w:val="22"/>
          <w:szCs w:val="22"/>
          <w:u w:val="single"/>
          <w:lang w:val="en"/>
        </w:rPr>
        <w:t>“</w:t>
      </w:r>
      <w:r w:rsidRPr="00E3008F">
        <w:rPr>
          <w:rFonts w:ascii="Times New Roman" w:hAnsi="Times New Roman" w:cs="Times New Roman"/>
          <w:sz w:val="22"/>
          <w:szCs w:val="22"/>
          <w:u w:val="single"/>
          <w:lang w:val="en"/>
        </w:rPr>
        <w:t>Define LPD, GPD, LRDA, GRDA?</w:t>
      </w:r>
      <w:r>
        <w:rPr>
          <w:rFonts w:ascii="Times New Roman" w:hAnsi="Times New Roman" w:cs="Times New Roman"/>
          <w:sz w:val="22"/>
          <w:szCs w:val="22"/>
          <w:u w:val="single"/>
          <w:lang w:val="en"/>
        </w:rPr>
        <w:t>”</w:t>
      </w:r>
    </w:p>
    <w:p w14:paraId="42FE3897" w14:textId="06DB8829" w:rsidR="00E3008F" w:rsidRPr="00F46235" w:rsidRDefault="00E3008F"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hAnsi="Times New Roman" w:cs="Times New Roman"/>
          <w:sz w:val="22"/>
          <w:szCs w:val="22"/>
        </w:rPr>
      </w:pPr>
      <w:r>
        <w:rPr>
          <w:rFonts w:ascii="Times New Roman" w:hAnsi="Times New Roman" w:cs="Times New Roman"/>
          <w:sz w:val="22"/>
          <w:szCs w:val="22"/>
        </w:rPr>
        <w:t>The first paragraph was modified to reference</w:t>
      </w:r>
      <w:r w:rsidR="00F63A2A">
        <w:rPr>
          <w:rFonts w:ascii="Times New Roman" w:hAnsi="Times New Roman" w:cs="Times New Roman"/>
          <w:sz w:val="22"/>
          <w:szCs w:val="22"/>
        </w:rPr>
        <w:t xml:space="preserve"> </w:t>
      </w:r>
      <w:r w:rsidR="00F63A2A" w:rsidRPr="00F46235">
        <w:rPr>
          <w:rFonts w:ascii="Times New Roman" w:hAnsi="Times New Roman" w:cs="Times New Roman"/>
          <w:sz w:val="22"/>
          <w:szCs w:val="22"/>
        </w:rPr>
        <w:t xml:space="preserve">J. Jing et al </w:t>
      </w:r>
      <w:r w:rsidR="00700B93" w:rsidRPr="00F46235">
        <w:rPr>
          <w:rFonts w:ascii="Times New Roman" w:hAnsi="Times New Roman" w:cs="Times New Roman"/>
          <w:sz w:val="22"/>
          <w:szCs w:val="22"/>
        </w:rPr>
        <w:t>and their paper which they describe the seizure classes.</w:t>
      </w:r>
    </w:p>
    <w:p w14:paraId="73C2B91B" w14:textId="57311B2A" w:rsidR="00477686" w:rsidRDefault="00477686" w:rsidP="00C4729F">
      <w:pPr>
        <w:spacing w:after="240"/>
        <w:rPr>
          <w:rFonts w:ascii="Times New Roman" w:eastAsia="Times New Roman" w:hAnsi="Times New Roman" w:cs="Times New Roman"/>
          <w:bCs/>
          <w:sz w:val="22"/>
          <w:szCs w:val="22"/>
          <w:u w:val="single"/>
        </w:rPr>
      </w:pPr>
      <w:r w:rsidRPr="001970DA">
        <w:rPr>
          <w:rFonts w:ascii="Times New Roman" w:eastAsia="Times New Roman" w:hAnsi="Times New Roman" w:cs="Times New Roman"/>
          <w:bCs/>
          <w:sz w:val="22"/>
          <w:szCs w:val="22"/>
          <w:u w:val="single"/>
        </w:rPr>
        <w:t>“Seizures of less than 2 seconds has been removed from the analysis. This maybe an absence seizure which young children are more affected. This analysis can only be effective if you have removed the data for young children from the work.”</w:t>
      </w:r>
    </w:p>
    <w:p w14:paraId="3261CB6F" w14:textId="21119FCB" w:rsidR="00573522" w:rsidRDefault="00573522" w:rsidP="00C4729F">
      <w:pPr>
        <w:pBdr>
          <w:top w:val="none" w:sz="4" w:space="0" w:color="000000"/>
          <w:left w:val="none" w:sz="4" w:space="0" w:color="000000"/>
          <w:bottom w:val="none" w:sz="4" w:space="8" w:color="000000"/>
          <w:right w:val="none" w:sz="4" w:space="0" w:color="000000"/>
          <w:between w:val="none" w:sz="4" w:space="0" w:color="000000"/>
        </w:pBdr>
        <w:spacing w:after="240"/>
        <w:jc w:val="both"/>
        <w:rPr>
          <w:rFonts w:ascii="Times New Roman" w:hAnsi="Times New Roman" w:cs="Times New Roman"/>
          <w:sz w:val="22"/>
          <w:szCs w:val="22"/>
        </w:rPr>
      </w:pPr>
      <w:r>
        <w:rPr>
          <w:rFonts w:ascii="Times New Roman" w:hAnsi="Times New Roman" w:cs="Times New Roman"/>
          <w:sz w:val="22"/>
          <w:szCs w:val="22"/>
        </w:rPr>
        <w:t>The following paragraph was added to address this concern:</w:t>
      </w:r>
    </w:p>
    <w:p w14:paraId="61BA5767" w14:textId="5D01D825" w:rsidR="00F46235" w:rsidRPr="00573522" w:rsidRDefault="00573522" w:rsidP="00C4729F">
      <w:pPr>
        <w:pBdr>
          <w:top w:val="none" w:sz="4" w:space="0" w:color="000000"/>
          <w:left w:val="none" w:sz="4" w:space="0" w:color="000000"/>
          <w:bottom w:val="none" w:sz="4" w:space="0" w:color="000000"/>
          <w:right w:val="none" w:sz="4" w:space="0" w:color="000000"/>
          <w:between w:val="none" w:sz="4" w:space="0" w:color="000000"/>
        </w:pBdr>
        <w:spacing w:after="240"/>
        <w:jc w:val="both"/>
        <w:rPr>
          <w:rFonts w:ascii="Times New Roman" w:hAnsi="Times New Roman" w:cs="Times New Roman"/>
          <w:sz w:val="22"/>
          <w:szCs w:val="22"/>
        </w:rPr>
      </w:pPr>
      <w:r>
        <w:rPr>
          <w:rFonts w:ascii="Times New Roman" w:hAnsi="Times New Roman" w:cs="Times New Roman"/>
          <w:sz w:val="22"/>
          <w:szCs w:val="22"/>
        </w:rPr>
        <w:t>“</w:t>
      </w:r>
      <w:r w:rsidR="00C4729F" w:rsidRPr="00C4729F">
        <w:rPr>
          <w:rFonts w:ascii="Times New Roman" w:hAnsi="Times New Roman" w:cs="Times New Roman"/>
          <w:sz w:val="22"/>
          <w:szCs w:val="22"/>
        </w:rPr>
        <w:t xml:space="preserve">Before delving into the outcomes of the SMILE experiments, it is appropriate to comment on the exclusion of seizures lasting less than </w:t>
      </w:r>
      <m:oMath>
        <m:r>
          <m:rPr>
            <m:sty m:val="p"/>
          </m:rPr>
          <w:rPr>
            <w:rFonts w:ascii="Cambria Math" w:hAnsi="Cambria Math" w:cs="Times New Roman"/>
            <w:sz w:val="22"/>
            <w:szCs w:val="22"/>
          </w:rPr>
          <m:t>2</m:t>
        </m:r>
        <m:r>
          <w:rPr>
            <w:rFonts w:ascii="Cambria Math" w:hAnsi="Cambria Math" w:cs="Times New Roman"/>
            <w:sz w:val="22"/>
            <w:szCs w:val="22"/>
          </w:rPr>
          <m:t>s</m:t>
        </m:r>
      </m:oMath>
      <w:r w:rsidR="00C4729F" w:rsidRPr="00C4729F">
        <w:rPr>
          <w:rFonts w:ascii="Times New Roman" w:hAnsi="Times New Roman" w:cs="Times New Roman"/>
          <w:sz w:val="22"/>
          <w:szCs w:val="22"/>
        </w:rPr>
        <w:t xml:space="preserve">. The significance of seizures lasting a short duration remains a topic of </w:t>
      </w:r>
      <w:r w:rsidR="00C4729F" w:rsidRPr="00C4729F">
        <w:rPr>
          <w:rFonts w:ascii="Times New Roman" w:hAnsi="Times New Roman" w:cs="Times New Roman"/>
          <w:sz w:val="22"/>
          <w:szCs w:val="22"/>
        </w:rPr>
        <w:lastRenderedPageBreak/>
        <w:t xml:space="preserve">debate within the field of neurology, often with the consensus that short seizures primarily affect young children rather than adults. The decision to omit short duration seizures was made as a strategic compromise between sensitivity and FP rates. Inclusion of seizures under </w:t>
      </w:r>
      <m:oMath>
        <m:r>
          <m:rPr>
            <m:sty m:val="p"/>
          </m:rPr>
          <w:rPr>
            <w:rFonts w:ascii="Cambria Math" w:hAnsi="Cambria Math" w:cs="Times New Roman"/>
            <w:sz w:val="22"/>
            <w:szCs w:val="22"/>
          </w:rPr>
          <m:t>2</m:t>
        </m:r>
        <m:r>
          <w:rPr>
            <w:rFonts w:ascii="Cambria Math" w:hAnsi="Cambria Math" w:cs="Times New Roman"/>
            <w:sz w:val="22"/>
            <w:szCs w:val="22"/>
          </w:rPr>
          <m:t>s</m:t>
        </m:r>
      </m:oMath>
      <w:r w:rsidR="00C4729F" w:rsidRPr="00C4729F">
        <w:rPr>
          <w:rFonts w:ascii="Times New Roman" w:hAnsi="Times New Roman" w:cs="Times New Roman"/>
          <w:sz w:val="22"/>
          <w:szCs w:val="22"/>
        </w:rPr>
        <w:t xml:space="preserve"> substantially inflates the false positive rate while offering minimal improvement in sensitivity, primarily due to the scarcity of children experiencing such short seizures in the TUSZ dataset. For example, it was observed that no children aged </w:t>
      </w:r>
      <m:oMath>
        <m:r>
          <m:rPr>
            <m:sty m:val="p"/>
          </m:rPr>
          <w:rPr>
            <w:rFonts w:ascii="Cambria Math" w:hAnsi="Cambria Math" w:cs="Times New Roman"/>
            <w:sz w:val="22"/>
            <w:szCs w:val="22"/>
          </w:rPr>
          <m:t>0-2</m:t>
        </m:r>
      </m:oMath>
      <w:r w:rsidR="00C4729F" w:rsidRPr="00C4729F">
        <w:rPr>
          <w:rFonts w:ascii="Times New Roman" w:hAnsi="Times New Roman" w:cs="Times New Roman"/>
          <w:sz w:val="22"/>
          <w:szCs w:val="22"/>
        </w:rPr>
        <w:t xml:space="preserve"> in TUSZ had encountered seizures lasting less than </w:t>
      </w:r>
      <m:oMath>
        <m:r>
          <m:rPr>
            <m:sty m:val="p"/>
          </m:rPr>
          <w:rPr>
            <w:rFonts w:ascii="Cambria Math" w:hAnsi="Cambria Math" w:cs="Times New Roman"/>
            <w:sz w:val="22"/>
            <w:szCs w:val="22"/>
          </w:rPr>
          <m:t>2</m:t>
        </m:r>
        <m:r>
          <w:rPr>
            <w:rFonts w:ascii="Cambria Math" w:hAnsi="Cambria Math" w:cs="Times New Roman"/>
            <w:sz w:val="22"/>
            <w:szCs w:val="22"/>
          </w:rPr>
          <m:t>s</m:t>
        </m:r>
      </m:oMath>
      <w:r w:rsidR="00C4729F" w:rsidRPr="00C4729F">
        <w:rPr>
          <w:rFonts w:ascii="Times New Roman" w:hAnsi="Times New Roman" w:cs="Times New Roman"/>
          <w:sz w:val="22"/>
          <w:szCs w:val="22"/>
        </w:rPr>
        <w:t>. While the precise threshold for defining a “short” seizure can be debated, excluding very brief seizures is a fact of life with most machine learning approaches since they tend to produce a significant number of FPs.</w:t>
      </w:r>
      <w:r>
        <w:rPr>
          <w:rFonts w:ascii="Times New Roman" w:hAnsi="Times New Roman" w:cs="Times New Roman"/>
          <w:sz w:val="22"/>
          <w:szCs w:val="22"/>
        </w:rPr>
        <w:t>”</w:t>
      </w:r>
    </w:p>
    <w:sectPr w:rsidR="00F46235" w:rsidRPr="0057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3B5"/>
    <w:multiLevelType w:val="hybridMultilevel"/>
    <w:tmpl w:val="99D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D7901"/>
    <w:multiLevelType w:val="multilevel"/>
    <w:tmpl w:val="E9701A0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8244012">
    <w:abstractNumId w:val="0"/>
  </w:num>
  <w:num w:numId="2" w16cid:durableId="7320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7D"/>
    <w:rsid w:val="00011471"/>
    <w:rsid w:val="00014B71"/>
    <w:rsid w:val="00032E01"/>
    <w:rsid w:val="000850B2"/>
    <w:rsid w:val="000C00D2"/>
    <w:rsid w:val="000D0B23"/>
    <w:rsid w:val="000D2162"/>
    <w:rsid w:val="000F540B"/>
    <w:rsid w:val="001970DA"/>
    <w:rsid w:val="001E4CB7"/>
    <w:rsid w:val="001F0C70"/>
    <w:rsid w:val="00237FA3"/>
    <w:rsid w:val="0029081A"/>
    <w:rsid w:val="002A4C34"/>
    <w:rsid w:val="002B5970"/>
    <w:rsid w:val="003253D2"/>
    <w:rsid w:val="00332E9C"/>
    <w:rsid w:val="00356D92"/>
    <w:rsid w:val="003D13AD"/>
    <w:rsid w:val="004104E6"/>
    <w:rsid w:val="0042686F"/>
    <w:rsid w:val="00473E29"/>
    <w:rsid w:val="00477686"/>
    <w:rsid w:val="004B7989"/>
    <w:rsid w:val="00521F4D"/>
    <w:rsid w:val="00573522"/>
    <w:rsid w:val="005B1A38"/>
    <w:rsid w:val="00623B3D"/>
    <w:rsid w:val="0064539D"/>
    <w:rsid w:val="00663289"/>
    <w:rsid w:val="00687831"/>
    <w:rsid w:val="006A624B"/>
    <w:rsid w:val="006B1E62"/>
    <w:rsid w:val="006D4583"/>
    <w:rsid w:val="006D6987"/>
    <w:rsid w:val="00700B93"/>
    <w:rsid w:val="00746EA3"/>
    <w:rsid w:val="0076407D"/>
    <w:rsid w:val="007722E7"/>
    <w:rsid w:val="007A31C7"/>
    <w:rsid w:val="00850395"/>
    <w:rsid w:val="00854A26"/>
    <w:rsid w:val="008F176E"/>
    <w:rsid w:val="00920753"/>
    <w:rsid w:val="009469FC"/>
    <w:rsid w:val="00964861"/>
    <w:rsid w:val="00967E9D"/>
    <w:rsid w:val="009913EE"/>
    <w:rsid w:val="009A4B3B"/>
    <w:rsid w:val="00A13A84"/>
    <w:rsid w:val="00A36272"/>
    <w:rsid w:val="00A76C99"/>
    <w:rsid w:val="00A7729E"/>
    <w:rsid w:val="00A9273B"/>
    <w:rsid w:val="00AA0DA4"/>
    <w:rsid w:val="00B705D6"/>
    <w:rsid w:val="00B80000"/>
    <w:rsid w:val="00B81299"/>
    <w:rsid w:val="00BB02C0"/>
    <w:rsid w:val="00BD3833"/>
    <w:rsid w:val="00BD7053"/>
    <w:rsid w:val="00C00A6B"/>
    <w:rsid w:val="00C30669"/>
    <w:rsid w:val="00C4729F"/>
    <w:rsid w:val="00C47B2E"/>
    <w:rsid w:val="00CC6331"/>
    <w:rsid w:val="00D15A5D"/>
    <w:rsid w:val="00D31E36"/>
    <w:rsid w:val="00D81602"/>
    <w:rsid w:val="00DB7257"/>
    <w:rsid w:val="00E0264D"/>
    <w:rsid w:val="00E049A0"/>
    <w:rsid w:val="00E2057B"/>
    <w:rsid w:val="00E3008F"/>
    <w:rsid w:val="00E468B7"/>
    <w:rsid w:val="00E55C5B"/>
    <w:rsid w:val="00E60870"/>
    <w:rsid w:val="00E73380"/>
    <w:rsid w:val="00E84392"/>
    <w:rsid w:val="00E866CA"/>
    <w:rsid w:val="00EA4C57"/>
    <w:rsid w:val="00EA7DE2"/>
    <w:rsid w:val="00EB3ED3"/>
    <w:rsid w:val="00EC2BFC"/>
    <w:rsid w:val="00EF724F"/>
    <w:rsid w:val="00F218FD"/>
    <w:rsid w:val="00F339E8"/>
    <w:rsid w:val="00F46235"/>
    <w:rsid w:val="00F63A2A"/>
    <w:rsid w:val="00F918CD"/>
    <w:rsid w:val="00FA056D"/>
    <w:rsid w:val="00FC4344"/>
    <w:rsid w:val="00FC573E"/>
    <w:rsid w:val="00F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724E"/>
  <w15:chartTrackingRefBased/>
  <w15:docId w15:val="{3CDA14D5-79D7-4D62-8A54-A93BEC7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0B"/>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1089</Words>
  <Characters>5004</Characters>
  <Application>Microsoft Office Word</Application>
  <DocSecurity>0</DocSecurity>
  <Lines>83</Lines>
  <Paragraphs>42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McNicholas</dc:creator>
  <cp:keywords/>
  <dc:description/>
  <cp:lastModifiedBy>Joseph Picone</cp:lastModifiedBy>
  <cp:revision>4</cp:revision>
  <dcterms:created xsi:type="dcterms:W3CDTF">2023-10-17T14:10:00Z</dcterms:created>
  <dcterms:modified xsi:type="dcterms:W3CDTF">2023-10-17T17:54:00Z</dcterms:modified>
</cp:coreProperties>
</file>