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0FE1" w14:textId="453C46C7" w:rsidR="00511D58" w:rsidRPr="00742C4F" w:rsidRDefault="00511D58" w:rsidP="00CE3EE0">
      <w:pPr>
        <w:rPr>
          <w:b/>
          <w:sz w:val="32"/>
          <w:szCs w:val="32"/>
        </w:rPr>
      </w:pPr>
      <w:r>
        <w:rPr>
          <w:b/>
          <w:sz w:val="32"/>
          <w:szCs w:val="32"/>
        </w:rPr>
        <w:t>EEG Event Detection on the TUH EEG Corpus</w:t>
      </w:r>
    </w:p>
    <w:p w14:paraId="53E2F61E" w14:textId="77777777" w:rsidR="00511D58" w:rsidRPr="00FF2D8F" w:rsidRDefault="00511D58" w:rsidP="00511D58">
      <w:pPr>
        <w:pStyle w:val="NormalWeb"/>
        <w:spacing w:before="0" w:beforeAutospacing="0" w:after="0" w:afterAutospacing="0"/>
      </w:pPr>
    </w:p>
    <w:p w14:paraId="4508AC66" w14:textId="63E64553" w:rsidR="00511D58" w:rsidRPr="00CE3EE0" w:rsidRDefault="00511D58" w:rsidP="00CE3EE0">
      <w:pPr>
        <w:pStyle w:val="NormalWeb"/>
        <w:tabs>
          <w:tab w:val="center" w:pos="2160"/>
          <w:tab w:val="center" w:pos="7200"/>
        </w:tabs>
        <w:spacing w:before="0" w:beforeAutospacing="0" w:after="0" w:afterAutospacing="0"/>
        <w:rPr>
          <w:bdr w:val="none" w:sz="0" w:space="0" w:color="auto" w:frame="1"/>
        </w:rPr>
      </w:pPr>
      <w:r>
        <w:rPr>
          <w:bdr w:val="none" w:sz="0" w:space="0" w:color="auto" w:frame="1"/>
        </w:rPr>
        <w:t>Meysam Golmohammadi</w:t>
      </w:r>
      <w:r w:rsidR="00CE3EE0" w:rsidRPr="00CE3EE0">
        <w:rPr>
          <w:bdr w:val="none" w:sz="0" w:space="0" w:color="auto" w:frame="1"/>
          <w:vertAlign w:val="superscript"/>
        </w:rPr>
        <w:t>1</w:t>
      </w:r>
      <w:r>
        <w:rPr>
          <w:bdr w:val="none" w:sz="0" w:space="0" w:color="auto" w:frame="1"/>
        </w:rPr>
        <w:t xml:space="preserve">, </w:t>
      </w:r>
      <w:r w:rsidR="007F1A92">
        <w:rPr>
          <w:bdr w:val="none" w:sz="0" w:space="0" w:color="auto" w:frame="1"/>
        </w:rPr>
        <w:t>MS</w:t>
      </w:r>
      <w:r w:rsidR="00CE3EE0">
        <w:rPr>
          <w:bdr w:val="none" w:sz="0" w:space="0" w:color="auto" w:frame="1"/>
        </w:rPr>
        <w:t xml:space="preserve">; </w:t>
      </w:r>
      <w:r>
        <w:rPr>
          <w:bdr w:val="none" w:sz="0" w:space="0" w:color="auto" w:frame="1"/>
        </w:rPr>
        <w:t>Silvia Lopez</w:t>
      </w:r>
      <w:r w:rsidR="00CE3EE0" w:rsidRPr="00E064C7">
        <w:rPr>
          <w:bdr w:val="none" w:sz="0" w:space="0" w:color="auto" w:frame="1"/>
          <w:vertAlign w:val="superscript"/>
        </w:rPr>
        <w:t>1</w:t>
      </w:r>
      <w:r>
        <w:rPr>
          <w:bdr w:val="none" w:sz="0" w:space="0" w:color="auto" w:frame="1"/>
        </w:rPr>
        <w:t>,</w:t>
      </w:r>
      <w:r w:rsidR="007F1A92">
        <w:rPr>
          <w:bdr w:val="none" w:sz="0" w:space="0" w:color="auto" w:frame="1"/>
        </w:rPr>
        <w:t xml:space="preserve"> BS</w:t>
      </w:r>
      <w:r w:rsidR="00CE3EE0">
        <w:rPr>
          <w:bdr w:val="none" w:sz="0" w:space="0" w:color="auto" w:frame="1"/>
        </w:rPr>
        <w:t xml:space="preserve">; </w:t>
      </w:r>
      <w:r>
        <w:rPr>
          <w:bdr w:val="none" w:sz="0" w:space="0" w:color="auto" w:frame="1"/>
        </w:rPr>
        <w:t>Iyad Obeid</w:t>
      </w:r>
      <w:r w:rsidR="00CE3EE0" w:rsidRPr="00E064C7">
        <w:rPr>
          <w:bdr w:val="none" w:sz="0" w:space="0" w:color="auto" w:frame="1"/>
          <w:vertAlign w:val="superscript"/>
        </w:rPr>
        <w:t>1</w:t>
      </w:r>
      <w:r w:rsidR="00CE3EE0">
        <w:rPr>
          <w:bdr w:val="none" w:sz="0" w:space="0" w:color="auto" w:frame="1"/>
        </w:rPr>
        <w:t xml:space="preserve">, PhD; </w:t>
      </w:r>
      <w:r w:rsidRPr="00742C4F">
        <w:rPr>
          <w:u w:val="single"/>
          <w:bdr w:val="none" w:sz="0" w:space="0" w:color="auto" w:frame="1"/>
        </w:rPr>
        <w:t>J</w:t>
      </w:r>
      <w:r w:rsidR="006875CF">
        <w:rPr>
          <w:u w:val="single"/>
          <w:bdr w:val="none" w:sz="0" w:space="0" w:color="auto" w:frame="1"/>
        </w:rPr>
        <w:t xml:space="preserve">oseph </w:t>
      </w:r>
      <w:bookmarkStart w:id="0" w:name="_GoBack"/>
      <w:bookmarkEnd w:id="0"/>
      <w:r w:rsidRPr="00742C4F">
        <w:rPr>
          <w:u w:val="single"/>
          <w:bdr w:val="none" w:sz="0" w:space="0" w:color="auto" w:frame="1"/>
        </w:rPr>
        <w:t>Picone</w:t>
      </w:r>
      <w:r w:rsidR="00CE3EE0" w:rsidRPr="00E064C7">
        <w:rPr>
          <w:bdr w:val="none" w:sz="0" w:space="0" w:color="auto" w:frame="1"/>
          <w:vertAlign w:val="superscript"/>
        </w:rPr>
        <w:t>1</w:t>
      </w:r>
      <w:r w:rsidR="00CE3EE0">
        <w:rPr>
          <w:bdr w:val="none" w:sz="0" w:space="0" w:color="auto" w:frame="1"/>
        </w:rPr>
        <w:t>, PhD</w:t>
      </w:r>
    </w:p>
    <w:p w14:paraId="261C8029" w14:textId="77777777" w:rsidR="00CE3EE0" w:rsidRDefault="00CE3EE0" w:rsidP="00CE3EE0">
      <w:pPr>
        <w:pStyle w:val="NormalWeb"/>
        <w:spacing w:before="0" w:beforeAutospacing="0" w:after="0" w:afterAutospacing="0"/>
      </w:pPr>
      <w:r w:rsidRPr="00664BB4">
        <w:rPr>
          <w:bdr w:val="none" w:sz="0" w:space="0" w:color="auto" w:frame="1"/>
          <w:vertAlign w:val="superscript"/>
        </w:rPr>
        <w:t>1</w:t>
      </w:r>
      <w:r w:rsidRPr="00AE76D6">
        <w:t xml:space="preserve"> </w:t>
      </w:r>
      <w:r>
        <w:t>Neural Engineering Data Consortium, College of Engineering, Temple University, Philadelphia, Pennsylvania, U.S.A.</w:t>
      </w:r>
    </w:p>
    <w:p w14:paraId="25DF9C37" w14:textId="2E68D41D" w:rsidR="00E77248" w:rsidRDefault="00E77248" w:rsidP="002215CB">
      <w:pPr>
        <w:pStyle w:val="NormalWeb"/>
        <w:spacing w:before="240" w:beforeAutospacing="0" w:after="0" w:afterAutospacing="0"/>
        <w:jc w:val="both"/>
        <w:rPr>
          <w:rFonts w:cs="Arial"/>
          <w:szCs w:val="20"/>
        </w:rPr>
      </w:pPr>
      <w:r>
        <w:rPr>
          <w:rFonts w:cs="Arial"/>
          <w:szCs w:val="20"/>
        </w:rPr>
        <w:t xml:space="preserve">BigData resources are critical to the application of state of the art machine learning algorithms to signal and text data in biomedical informatics. </w:t>
      </w:r>
      <w:r w:rsidR="002215CB" w:rsidRPr="002215CB">
        <w:rPr>
          <w:rFonts w:cs="Arial"/>
          <w:szCs w:val="20"/>
        </w:rPr>
        <w:t>The Neural Engineering Data Consortium (NEDC</w:t>
      </w:r>
      <w:r>
        <w:rPr>
          <w:rFonts w:cs="Arial"/>
          <w:szCs w:val="20"/>
        </w:rPr>
        <w:t xml:space="preserve">: </w:t>
      </w:r>
      <w:r w:rsidRPr="00E77248">
        <w:rPr>
          <w:rFonts w:cs="Arial"/>
          <w:i/>
          <w:szCs w:val="20"/>
        </w:rPr>
        <w:t>www.nedcdata.org</w:t>
      </w:r>
      <w:r w:rsidR="002215CB" w:rsidRPr="002215CB">
        <w:rPr>
          <w:rFonts w:cs="Arial"/>
          <w:szCs w:val="20"/>
        </w:rPr>
        <w:t xml:space="preserve">) </w:t>
      </w:r>
      <w:r>
        <w:rPr>
          <w:rFonts w:cs="Arial"/>
          <w:szCs w:val="20"/>
        </w:rPr>
        <w:t xml:space="preserve">has recently released the </w:t>
      </w:r>
      <w:r w:rsidR="002215CB" w:rsidRPr="002215CB">
        <w:rPr>
          <w:rFonts w:cs="Arial"/>
          <w:szCs w:val="20"/>
        </w:rPr>
        <w:t>Temple University Hospital EEG Corpus</w:t>
      </w:r>
      <w:r w:rsidR="00942E53">
        <w:rPr>
          <w:rFonts w:cs="Arial"/>
          <w:szCs w:val="20"/>
        </w:rPr>
        <w:t xml:space="preserve">, which </w:t>
      </w:r>
      <w:r>
        <w:rPr>
          <w:rFonts w:cs="Arial"/>
          <w:szCs w:val="20"/>
        </w:rPr>
        <w:t>consists of over 28</w:t>
      </w:r>
      <w:r w:rsidR="002215CB" w:rsidRPr="002215CB">
        <w:rPr>
          <w:rFonts w:cs="Arial"/>
          <w:szCs w:val="20"/>
        </w:rPr>
        <w:t>,000 EEG studies</w:t>
      </w:r>
      <w:r>
        <w:rPr>
          <w:rFonts w:cs="Arial"/>
          <w:szCs w:val="20"/>
        </w:rPr>
        <w:t xml:space="preserve"> from over 15,000 patients</w:t>
      </w:r>
      <w:r w:rsidR="00942E53">
        <w:rPr>
          <w:rFonts w:cs="Arial"/>
          <w:szCs w:val="20"/>
        </w:rPr>
        <w:t xml:space="preserve">. </w:t>
      </w:r>
      <w:r>
        <w:rPr>
          <w:rFonts w:cs="Arial"/>
          <w:szCs w:val="20"/>
        </w:rPr>
        <w:t xml:space="preserve">This corpus represents 14 years of clinical EEGs performed at Temple Hospital – a large urban public hospital. The data is extremely diverse and includes numerous artifacts </w:t>
      </w:r>
      <w:r w:rsidR="00B20E6E">
        <w:rPr>
          <w:rFonts w:cs="Arial"/>
          <w:szCs w:val="20"/>
        </w:rPr>
        <w:t xml:space="preserve">expected </w:t>
      </w:r>
      <w:r>
        <w:rPr>
          <w:rFonts w:cs="Arial"/>
          <w:szCs w:val="20"/>
        </w:rPr>
        <w:t xml:space="preserve">in clinical data (e.g., patient movement). </w:t>
      </w:r>
      <w:r w:rsidR="00942E53">
        <w:rPr>
          <w:rFonts w:cs="Arial"/>
          <w:szCs w:val="20"/>
        </w:rPr>
        <w:t xml:space="preserve">Each record includes the signal data and an EEG report containing the </w:t>
      </w:r>
      <w:r w:rsidR="00942E53" w:rsidRPr="002215CB">
        <w:rPr>
          <w:rFonts w:cs="Arial"/>
          <w:szCs w:val="20"/>
        </w:rPr>
        <w:t xml:space="preserve">neurologist’s </w:t>
      </w:r>
      <w:r w:rsidR="00942E53">
        <w:rPr>
          <w:rFonts w:cs="Arial"/>
          <w:szCs w:val="20"/>
        </w:rPr>
        <w:t>findings..</w:t>
      </w:r>
      <w:r w:rsidR="004B354D">
        <w:rPr>
          <w:rFonts w:cs="Arial"/>
          <w:szCs w:val="20"/>
        </w:rPr>
        <w:t xml:space="preserve"> Ideally, the correlations of the automatic processing of the signal data with the information extracted from the EEG report will bootstrap the quality of signal processing.</w:t>
      </w:r>
      <w:r>
        <w:rPr>
          <w:rFonts w:cs="Arial"/>
          <w:szCs w:val="20"/>
        </w:rPr>
        <w:t xml:space="preserve"> </w:t>
      </w:r>
    </w:p>
    <w:p w14:paraId="35B41612" w14:textId="488DEE00" w:rsidR="002215CB" w:rsidRPr="002215CB" w:rsidRDefault="00942E53" w:rsidP="005C62A8">
      <w:pPr>
        <w:pStyle w:val="NormalWeb"/>
        <w:spacing w:before="240" w:beforeAutospacing="0" w:after="0" w:afterAutospacing="0"/>
        <w:jc w:val="both"/>
        <w:rPr>
          <w:rFonts w:cs="Arial"/>
          <w:szCs w:val="20"/>
        </w:rPr>
      </w:pPr>
      <w:r>
        <w:rPr>
          <w:rFonts w:cs="Arial"/>
          <w:szCs w:val="20"/>
        </w:rPr>
        <w:t>W</w:t>
      </w:r>
      <w:r w:rsidR="00E77248" w:rsidRPr="002215CB">
        <w:rPr>
          <w:rFonts w:cs="Arial"/>
          <w:szCs w:val="20"/>
        </w:rPr>
        <w:t xml:space="preserve">e present pilot results of experiments on the prediction of some basic attributes of an EEG </w:t>
      </w:r>
      <w:r>
        <w:rPr>
          <w:rFonts w:cs="Arial"/>
          <w:szCs w:val="20"/>
        </w:rPr>
        <w:t xml:space="preserve">signal </w:t>
      </w:r>
      <w:r w:rsidR="00E77248" w:rsidRPr="002215CB">
        <w:rPr>
          <w:rFonts w:cs="Arial"/>
          <w:szCs w:val="20"/>
        </w:rPr>
        <w:t xml:space="preserve">using a </w:t>
      </w:r>
      <w:r w:rsidR="00E77248">
        <w:rPr>
          <w:rFonts w:cs="Arial"/>
          <w:szCs w:val="20"/>
        </w:rPr>
        <w:t xml:space="preserve">manually labeled </w:t>
      </w:r>
      <w:r w:rsidR="00E77248" w:rsidRPr="002215CB">
        <w:rPr>
          <w:rFonts w:cs="Arial"/>
          <w:szCs w:val="20"/>
        </w:rPr>
        <w:t>subset of the corpus</w:t>
      </w:r>
      <w:r>
        <w:rPr>
          <w:rFonts w:cs="Arial"/>
          <w:szCs w:val="20"/>
        </w:rPr>
        <w:t xml:space="preserve"> that </w:t>
      </w:r>
      <w:r w:rsidR="00E77248">
        <w:rPr>
          <w:rFonts w:cs="Arial"/>
          <w:szCs w:val="20"/>
        </w:rPr>
        <w:t xml:space="preserve">was developed to allow small scale experiments to be run that give good indicators of overall performance. We define a 6-way classification </w:t>
      </w:r>
      <w:r w:rsidR="005C62A8">
        <w:rPr>
          <w:rFonts w:cs="Arial"/>
          <w:szCs w:val="20"/>
        </w:rPr>
        <w:t xml:space="preserve">task that involves detection of: </w:t>
      </w:r>
      <w:r w:rsidR="005C62A8" w:rsidRPr="005C62A8">
        <w:rPr>
          <w:rFonts w:cs="Arial"/>
          <w:szCs w:val="20"/>
        </w:rPr>
        <w:t>(1) spike and/or sharp waves (SPSW), (2) periodic lateralized epileptiform discharges (PLED), (3) generalized periodic epileptiform discharges (GPED), (4) artifacts (ARTF) (recorded electrical activity that is not of cerebral origin, such as those due to the equipment, patient behavior or the environment); (5) eye movement (EYEM) (common events that can often be confused with a spike); and (6) background (BCKG) (used for all other signals).</w:t>
      </w:r>
      <w:r w:rsidR="005C62A8">
        <w:rPr>
          <w:rFonts w:cs="Arial"/>
          <w:szCs w:val="20"/>
        </w:rPr>
        <w:t xml:space="preserve"> </w:t>
      </w:r>
      <w:r>
        <w:rPr>
          <w:rFonts w:cs="Arial"/>
          <w:szCs w:val="20"/>
        </w:rPr>
        <w:t>A baseline machine learning approach</w:t>
      </w:r>
      <w:r w:rsidR="00E77248" w:rsidRPr="002215CB">
        <w:rPr>
          <w:rFonts w:cs="Arial"/>
          <w:szCs w:val="20"/>
        </w:rPr>
        <w:t xml:space="preserve"> </w:t>
      </w:r>
      <w:r w:rsidR="00262BED">
        <w:rPr>
          <w:rFonts w:cs="Arial"/>
          <w:szCs w:val="20"/>
        </w:rPr>
        <w:t>based on time-frequency analysis</w:t>
      </w:r>
      <w:r>
        <w:rPr>
          <w:rFonts w:cs="Arial"/>
          <w:szCs w:val="20"/>
        </w:rPr>
        <w:t xml:space="preserve">, </w:t>
      </w:r>
      <w:r w:rsidR="00262BED">
        <w:rPr>
          <w:rFonts w:cs="Arial"/>
          <w:szCs w:val="20"/>
        </w:rPr>
        <w:t>hidden Markov models</w:t>
      </w:r>
      <w:r>
        <w:rPr>
          <w:rFonts w:cs="Arial"/>
          <w:szCs w:val="20"/>
        </w:rPr>
        <w:t xml:space="preserve"> and deep learning </w:t>
      </w:r>
      <w:r w:rsidR="00E77248" w:rsidRPr="002215CB">
        <w:rPr>
          <w:rFonts w:cs="Arial"/>
          <w:szCs w:val="20"/>
        </w:rPr>
        <w:t xml:space="preserve">are shown to be capable of predicting commonly occurring events </w:t>
      </w:r>
      <w:r>
        <w:rPr>
          <w:rFonts w:cs="Arial"/>
          <w:szCs w:val="20"/>
        </w:rPr>
        <w:t xml:space="preserve">with an </w:t>
      </w:r>
      <w:r w:rsidR="005C62A8">
        <w:rPr>
          <w:rFonts w:cs="Arial"/>
          <w:szCs w:val="20"/>
        </w:rPr>
        <w:t xml:space="preserve">89% detection </w:t>
      </w:r>
      <w:r>
        <w:rPr>
          <w:rFonts w:cs="Arial"/>
          <w:szCs w:val="20"/>
        </w:rPr>
        <w:t>accuracy and a 4% false alarm rate</w:t>
      </w:r>
      <w:r w:rsidR="005C62A8">
        <w:rPr>
          <w:rFonts w:cs="Arial"/>
          <w:szCs w:val="20"/>
        </w:rPr>
        <w:t>.</w:t>
      </w:r>
      <w:r>
        <w:rPr>
          <w:rFonts w:cs="Arial"/>
          <w:szCs w:val="20"/>
        </w:rPr>
        <w:t xml:space="preserve"> Maintaining a low false alarm rate is important to the success of this technology in clinical settings.</w:t>
      </w:r>
      <w:r w:rsidR="002215CB" w:rsidRPr="002215CB">
        <w:rPr>
          <w:rFonts w:cs="Arial"/>
          <w:szCs w:val="20"/>
        </w:rPr>
        <w:t xml:space="preserve"> </w:t>
      </w:r>
    </w:p>
    <w:p w14:paraId="46D90AF5" w14:textId="69ED01D3" w:rsidR="003D710A" w:rsidRPr="00FF2D8F" w:rsidRDefault="003D710A" w:rsidP="002215CB">
      <w:pPr>
        <w:spacing w:before="240"/>
      </w:pPr>
      <w:r>
        <w:t>S</w:t>
      </w:r>
      <w:r w:rsidR="002215CB">
        <w:t>ubmitting Author’s Career S</w:t>
      </w:r>
      <w:r>
        <w:t>tage</w:t>
      </w:r>
      <w:r w:rsidR="00E42671">
        <w:t>: Professor</w:t>
      </w:r>
    </w:p>
    <w:sectPr w:rsidR="003D710A" w:rsidRPr="00FF2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3DE6"/>
    <w:multiLevelType w:val="hybridMultilevel"/>
    <w:tmpl w:val="CCB6F05C"/>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0B056688"/>
    <w:multiLevelType w:val="multilevel"/>
    <w:tmpl w:val="7268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012B7B"/>
    <w:multiLevelType w:val="hybridMultilevel"/>
    <w:tmpl w:val="9C96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53B8B"/>
    <w:multiLevelType w:val="hybridMultilevel"/>
    <w:tmpl w:val="ECD2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6071C"/>
    <w:multiLevelType w:val="hybridMultilevel"/>
    <w:tmpl w:val="E34EBFAA"/>
    <w:lvl w:ilvl="0" w:tplc="6CE4FE9C">
      <w:start w:val="1"/>
      <w:numFmt w:val="bullet"/>
      <w:lvlText w:val="•"/>
      <w:lvlJc w:val="left"/>
      <w:pPr>
        <w:tabs>
          <w:tab w:val="num" w:pos="720"/>
        </w:tabs>
        <w:ind w:left="720" w:hanging="360"/>
      </w:pPr>
      <w:rPr>
        <w:rFonts w:ascii="Arial" w:hAnsi="Arial" w:hint="default"/>
      </w:rPr>
    </w:lvl>
    <w:lvl w:ilvl="1" w:tplc="6682FA64" w:tentative="1">
      <w:start w:val="1"/>
      <w:numFmt w:val="bullet"/>
      <w:lvlText w:val="•"/>
      <w:lvlJc w:val="left"/>
      <w:pPr>
        <w:tabs>
          <w:tab w:val="num" w:pos="1440"/>
        </w:tabs>
        <w:ind w:left="1440" w:hanging="360"/>
      </w:pPr>
      <w:rPr>
        <w:rFonts w:ascii="Arial" w:hAnsi="Arial" w:hint="default"/>
      </w:rPr>
    </w:lvl>
    <w:lvl w:ilvl="2" w:tplc="7682B75E" w:tentative="1">
      <w:start w:val="1"/>
      <w:numFmt w:val="bullet"/>
      <w:lvlText w:val="•"/>
      <w:lvlJc w:val="left"/>
      <w:pPr>
        <w:tabs>
          <w:tab w:val="num" w:pos="2160"/>
        </w:tabs>
        <w:ind w:left="2160" w:hanging="360"/>
      </w:pPr>
      <w:rPr>
        <w:rFonts w:ascii="Arial" w:hAnsi="Arial" w:hint="default"/>
      </w:rPr>
    </w:lvl>
    <w:lvl w:ilvl="3" w:tplc="2F16AC2E" w:tentative="1">
      <w:start w:val="1"/>
      <w:numFmt w:val="bullet"/>
      <w:lvlText w:val="•"/>
      <w:lvlJc w:val="left"/>
      <w:pPr>
        <w:tabs>
          <w:tab w:val="num" w:pos="2880"/>
        </w:tabs>
        <w:ind w:left="2880" w:hanging="360"/>
      </w:pPr>
      <w:rPr>
        <w:rFonts w:ascii="Arial" w:hAnsi="Arial" w:hint="default"/>
      </w:rPr>
    </w:lvl>
    <w:lvl w:ilvl="4" w:tplc="F7D431F4" w:tentative="1">
      <w:start w:val="1"/>
      <w:numFmt w:val="bullet"/>
      <w:lvlText w:val="•"/>
      <w:lvlJc w:val="left"/>
      <w:pPr>
        <w:tabs>
          <w:tab w:val="num" w:pos="3600"/>
        </w:tabs>
        <w:ind w:left="3600" w:hanging="360"/>
      </w:pPr>
      <w:rPr>
        <w:rFonts w:ascii="Arial" w:hAnsi="Arial" w:hint="default"/>
      </w:rPr>
    </w:lvl>
    <w:lvl w:ilvl="5" w:tplc="BD561C8A" w:tentative="1">
      <w:start w:val="1"/>
      <w:numFmt w:val="bullet"/>
      <w:lvlText w:val="•"/>
      <w:lvlJc w:val="left"/>
      <w:pPr>
        <w:tabs>
          <w:tab w:val="num" w:pos="4320"/>
        </w:tabs>
        <w:ind w:left="4320" w:hanging="360"/>
      </w:pPr>
      <w:rPr>
        <w:rFonts w:ascii="Arial" w:hAnsi="Arial" w:hint="default"/>
      </w:rPr>
    </w:lvl>
    <w:lvl w:ilvl="6" w:tplc="1A94E08A" w:tentative="1">
      <w:start w:val="1"/>
      <w:numFmt w:val="bullet"/>
      <w:lvlText w:val="•"/>
      <w:lvlJc w:val="left"/>
      <w:pPr>
        <w:tabs>
          <w:tab w:val="num" w:pos="5040"/>
        </w:tabs>
        <w:ind w:left="5040" w:hanging="360"/>
      </w:pPr>
      <w:rPr>
        <w:rFonts w:ascii="Arial" w:hAnsi="Arial" w:hint="default"/>
      </w:rPr>
    </w:lvl>
    <w:lvl w:ilvl="7" w:tplc="C3309878" w:tentative="1">
      <w:start w:val="1"/>
      <w:numFmt w:val="bullet"/>
      <w:lvlText w:val="•"/>
      <w:lvlJc w:val="left"/>
      <w:pPr>
        <w:tabs>
          <w:tab w:val="num" w:pos="5760"/>
        </w:tabs>
        <w:ind w:left="5760" w:hanging="360"/>
      </w:pPr>
      <w:rPr>
        <w:rFonts w:ascii="Arial" w:hAnsi="Arial" w:hint="default"/>
      </w:rPr>
    </w:lvl>
    <w:lvl w:ilvl="8" w:tplc="D656230C" w:tentative="1">
      <w:start w:val="1"/>
      <w:numFmt w:val="bullet"/>
      <w:lvlText w:val="•"/>
      <w:lvlJc w:val="left"/>
      <w:pPr>
        <w:tabs>
          <w:tab w:val="num" w:pos="6480"/>
        </w:tabs>
        <w:ind w:left="6480" w:hanging="360"/>
      </w:pPr>
      <w:rPr>
        <w:rFonts w:ascii="Arial" w:hAnsi="Arial" w:hint="default"/>
      </w:rPr>
    </w:lvl>
  </w:abstractNum>
  <w:abstractNum w:abstractNumId="5">
    <w:nsid w:val="3D372692"/>
    <w:multiLevelType w:val="multilevel"/>
    <w:tmpl w:val="F1D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345A33"/>
    <w:multiLevelType w:val="hybridMultilevel"/>
    <w:tmpl w:val="26D07D38"/>
    <w:lvl w:ilvl="0" w:tplc="04090001">
      <w:start w:val="1"/>
      <w:numFmt w:val="bullet"/>
      <w:lvlText w:val=""/>
      <w:lvlJc w:val="left"/>
      <w:pPr>
        <w:ind w:left="1470" w:hanging="360"/>
      </w:pPr>
      <w:rPr>
        <w:rFonts w:ascii="Symbol" w:hAnsi="Symbol" w:hint="default"/>
      </w:rPr>
    </w:lvl>
    <w:lvl w:ilvl="1" w:tplc="04090001">
      <w:start w:val="1"/>
      <w:numFmt w:val="bullet"/>
      <w:lvlText w:val=""/>
      <w:lvlJc w:val="left"/>
      <w:pPr>
        <w:ind w:left="2190" w:hanging="360"/>
      </w:pPr>
      <w:rPr>
        <w:rFonts w:ascii="Symbol" w:hAnsi="Symbol"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45977A60"/>
    <w:multiLevelType w:val="hybridMultilevel"/>
    <w:tmpl w:val="944E1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E1E7D"/>
    <w:multiLevelType w:val="multilevel"/>
    <w:tmpl w:val="AE6A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5B258F"/>
    <w:multiLevelType w:val="hybridMultilevel"/>
    <w:tmpl w:val="458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F44E9"/>
    <w:multiLevelType w:val="hybridMultilevel"/>
    <w:tmpl w:val="E7DA3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219C4"/>
    <w:multiLevelType w:val="multilevel"/>
    <w:tmpl w:val="61A0A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7D6EED"/>
    <w:multiLevelType w:val="hybridMultilevel"/>
    <w:tmpl w:val="7D8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0544D"/>
    <w:multiLevelType w:val="hybridMultilevel"/>
    <w:tmpl w:val="B192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80522"/>
    <w:multiLevelType w:val="multilevel"/>
    <w:tmpl w:val="2EDAE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4"/>
  </w:num>
  <w:num w:numId="5">
    <w:abstractNumId w:val="4"/>
  </w:num>
  <w:num w:numId="6">
    <w:abstractNumId w:val="5"/>
  </w:num>
  <w:num w:numId="7">
    <w:abstractNumId w:val="0"/>
  </w:num>
  <w:num w:numId="8">
    <w:abstractNumId w:val="3"/>
  </w:num>
  <w:num w:numId="9">
    <w:abstractNumId w:val="13"/>
  </w:num>
  <w:num w:numId="10">
    <w:abstractNumId w:val="7"/>
  </w:num>
  <w:num w:numId="11">
    <w:abstractNumId w:val="10"/>
  </w:num>
  <w:num w:numId="12">
    <w:abstractNumId w:val="6"/>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30"/>
    <w:rsid w:val="0004235D"/>
    <w:rsid w:val="000565A5"/>
    <w:rsid w:val="00073EFE"/>
    <w:rsid w:val="000E44AF"/>
    <w:rsid w:val="00100C1B"/>
    <w:rsid w:val="00127414"/>
    <w:rsid w:val="00165B88"/>
    <w:rsid w:val="001E55D2"/>
    <w:rsid w:val="002215CB"/>
    <w:rsid w:val="00262BED"/>
    <w:rsid w:val="00267F4A"/>
    <w:rsid w:val="002D045C"/>
    <w:rsid w:val="002F0CC0"/>
    <w:rsid w:val="003629EA"/>
    <w:rsid w:val="00384515"/>
    <w:rsid w:val="003A015C"/>
    <w:rsid w:val="003D710A"/>
    <w:rsid w:val="0042351F"/>
    <w:rsid w:val="004A2BF6"/>
    <w:rsid w:val="004B354D"/>
    <w:rsid w:val="004C104A"/>
    <w:rsid w:val="004E671B"/>
    <w:rsid w:val="0050311B"/>
    <w:rsid w:val="00511D58"/>
    <w:rsid w:val="005436AD"/>
    <w:rsid w:val="00550DE3"/>
    <w:rsid w:val="005516E3"/>
    <w:rsid w:val="00583E06"/>
    <w:rsid w:val="00584236"/>
    <w:rsid w:val="005C62A8"/>
    <w:rsid w:val="005D682F"/>
    <w:rsid w:val="00661A2B"/>
    <w:rsid w:val="00664BB4"/>
    <w:rsid w:val="00685F1B"/>
    <w:rsid w:val="006875CF"/>
    <w:rsid w:val="00694EEC"/>
    <w:rsid w:val="007F1A92"/>
    <w:rsid w:val="008231EF"/>
    <w:rsid w:val="00857D21"/>
    <w:rsid w:val="00862F34"/>
    <w:rsid w:val="00885B7B"/>
    <w:rsid w:val="008B0601"/>
    <w:rsid w:val="00942E53"/>
    <w:rsid w:val="009454D0"/>
    <w:rsid w:val="009A3E13"/>
    <w:rsid w:val="009B41D8"/>
    <w:rsid w:val="009B6D60"/>
    <w:rsid w:val="009D0E09"/>
    <w:rsid w:val="00A02007"/>
    <w:rsid w:val="00A44068"/>
    <w:rsid w:val="00A560D0"/>
    <w:rsid w:val="00A65CC4"/>
    <w:rsid w:val="00AA148C"/>
    <w:rsid w:val="00AD03AD"/>
    <w:rsid w:val="00B1316E"/>
    <w:rsid w:val="00B20E6E"/>
    <w:rsid w:val="00B233C8"/>
    <w:rsid w:val="00B31A9A"/>
    <w:rsid w:val="00B31B33"/>
    <w:rsid w:val="00B87DAC"/>
    <w:rsid w:val="00BA72B1"/>
    <w:rsid w:val="00BC2AFE"/>
    <w:rsid w:val="00C05513"/>
    <w:rsid w:val="00C11113"/>
    <w:rsid w:val="00C345F4"/>
    <w:rsid w:val="00CA5C27"/>
    <w:rsid w:val="00CB5963"/>
    <w:rsid w:val="00CC20E8"/>
    <w:rsid w:val="00CE3EE0"/>
    <w:rsid w:val="00CF0973"/>
    <w:rsid w:val="00D108C0"/>
    <w:rsid w:val="00D150BF"/>
    <w:rsid w:val="00D164CD"/>
    <w:rsid w:val="00D165FE"/>
    <w:rsid w:val="00E026E2"/>
    <w:rsid w:val="00E14ECF"/>
    <w:rsid w:val="00E32BFB"/>
    <w:rsid w:val="00E42671"/>
    <w:rsid w:val="00E77248"/>
    <w:rsid w:val="00E82416"/>
    <w:rsid w:val="00E9234B"/>
    <w:rsid w:val="00EB6C4B"/>
    <w:rsid w:val="00EE1B74"/>
    <w:rsid w:val="00EF5748"/>
    <w:rsid w:val="00F12F2F"/>
    <w:rsid w:val="00F147B0"/>
    <w:rsid w:val="00F16642"/>
    <w:rsid w:val="00F6646F"/>
    <w:rsid w:val="00F75167"/>
    <w:rsid w:val="00FE2030"/>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E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406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44068"/>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0D0"/>
    <w:rPr>
      <w:color w:val="0000FF"/>
      <w:u w:val="single"/>
    </w:rPr>
  </w:style>
  <w:style w:type="paragraph" w:styleId="NormalWeb">
    <w:name w:val="Normal (Web)"/>
    <w:basedOn w:val="Normal"/>
    <w:uiPriority w:val="99"/>
    <w:unhideWhenUsed/>
    <w:rsid w:val="00A560D0"/>
    <w:pPr>
      <w:spacing w:before="100" w:beforeAutospacing="1" w:after="100" w:afterAutospacing="1"/>
    </w:pPr>
  </w:style>
  <w:style w:type="paragraph" w:styleId="ListParagraph">
    <w:name w:val="List Paragraph"/>
    <w:basedOn w:val="Normal"/>
    <w:uiPriority w:val="34"/>
    <w:qFormat/>
    <w:rsid w:val="009A3E13"/>
    <w:pPr>
      <w:ind w:left="720"/>
      <w:contextualSpacing/>
    </w:pPr>
    <w:rPr>
      <w:rFonts w:ascii="Arial" w:eastAsia="Times New Roman" w:hAnsi="Arial"/>
      <w:sz w:val="22"/>
    </w:rPr>
  </w:style>
  <w:style w:type="character" w:styleId="Strong">
    <w:name w:val="Strong"/>
    <w:basedOn w:val="DefaultParagraphFont"/>
    <w:uiPriority w:val="22"/>
    <w:qFormat/>
    <w:rsid w:val="00D108C0"/>
    <w:rPr>
      <w:b/>
      <w:bCs/>
    </w:rPr>
  </w:style>
  <w:style w:type="character" w:styleId="Emphasis">
    <w:name w:val="Emphasis"/>
    <w:basedOn w:val="DefaultParagraphFont"/>
    <w:uiPriority w:val="20"/>
    <w:qFormat/>
    <w:rsid w:val="009454D0"/>
    <w:rPr>
      <w:i/>
      <w:iCs/>
    </w:rPr>
  </w:style>
  <w:style w:type="character" w:customStyle="1" w:styleId="Heading1Char">
    <w:name w:val="Heading 1 Char"/>
    <w:basedOn w:val="DefaultParagraphFont"/>
    <w:link w:val="Heading1"/>
    <w:uiPriority w:val="9"/>
    <w:rsid w:val="00A4406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44068"/>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uiPriority w:val="99"/>
    <w:unhideWhenUsed/>
    <w:rsid w:val="00100C1B"/>
    <w:rPr>
      <w:rFonts w:ascii="Calibri" w:hAnsi="Calibri" w:cstheme="minorBidi"/>
      <w:sz w:val="22"/>
      <w:szCs w:val="21"/>
    </w:rPr>
  </w:style>
  <w:style w:type="character" w:customStyle="1" w:styleId="PlainTextChar">
    <w:name w:val="Plain Text Char"/>
    <w:basedOn w:val="DefaultParagraphFont"/>
    <w:link w:val="PlainText"/>
    <w:uiPriority w:val="99"/>
    <w:rsid w:val="00100C1B"/>
    <w:rPr>
      <w:rFonts w:ascii="Calibri" w:hAnsi="Calibri"/>
      <w:szCs w:val="21"/>
    </w:rPr>
  </w:style>
  <w:style w:type="paragraph" w:styleId="CommentText">
    <w:name w:val="annotation text"/>
    <w:basedOn w:val="Normal"/>
    <w:link w:val="CommentTextChar"/>
    <w:uiPriority w:val="99"/>
    <w:semiHidden/>
    <w:unhideWhenUsed/>
    <w:rsid w:val="00B31B3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1B33"/>
    <w:rPr>
      <w:sz w:val="20"/>
      <w:szCs w:val="20"/>
    </w:rPr>
  </w:style>
  <w:style w:type="paragraph" w:customStyle="1" w:styleId="default">
    <w:name w:val="default"/>
    <w:basedOn w:val="Normal"/>
    <w:uiPriority w:val="99"/>
    <w:semiHidden/>
    <w:rsid w:val="00E32BFB"/>
    <w:pPr>
      <w:spacing w:before="100" w:beforeAutospacing="1" w:after="100" w:afterAutospacing="1"/>
    </w:pPr>
  </w:style>
  <w:style w:type="paragraph" w:customStyle="1" w:styleId="Body">
    <w:name w:val="Body"/>
    <w:basedOn w:val="Normal"/>
    <w:rsid w:val="00127414"/>
    <w:pPr>
      <w:spacing w:before="100" w:after="100"/>
    </w:pPr>
    <w:rPr>
      <w:rFonts w:ascii="Arial" w:eastAsia="Times New Roman" w:hAnsi="Arial"/>
      <w:sz w:val="20"/>
      <w:szCs w:val="20"/>
    </w:rPr>
  </w:style>
  <w:style w:type="paragraph" w:styleId="BalloonText">
    <w:name w:val="Balloon Text"/>
    <w:basedOn w:val="Normal"/>
    <w:link w:val="BalloonTextChar"/>
    <w:uiPriority w:val="99"/>
    <w:semiHidden/>
    <w:unhideWhenUsed/>
    <w:rsid w:val="004C104A"/>
    <w:rPr>
      <w:sz w:val="18"/>
      <w:szCs w:val="18"/>
    </w:rPr>
  </w:style>
  <w:style w:type="character" w:customStyle="1" w:styleId="BalloonTextChar">
    <w:name w:val="Balloon Text Char"/>
    <w:basedOn w:val="DefaultParagraphFont"/>
    <w:link w:val="BalloonText"/>
    <w:uiPriority w:val="99"/>
    <w:semiHidden/>
    <w:rsid w:val="004C10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Cam99</b:Tag>
    <b:SourceType>JournalArticle</b:SourceType>
    <b:Guid>{FDC8A756-C1B9-4C33-8C24-AB6EA2B51AA1}</b:Guid>
    <b:Author>
      <b:Author>
        <b:NameList>
          <b:Person>
            <b:Last>Camerer</b:Last>
            <b:First>Colin</b:First>
          </b:Person>
        </b:NameList>
      </b:Author>
    </b:Author>
    <b:Title>Behavioral economics: Reunifying psychology and economics</b:Title>
    <b:Year>1999</b:Year>
    <b:Publisher>PNAS</b:Publisher>
    <b:JournalName>Proc. Natl. Acad. Sci</b:JournalName>
    <b:Pages>10575-10577</b:Pages>
    <b:RefOrder>1</b:RefOrder>
  </b:Source>
</b:Sources>
</file>

<file path=customXml/itemProps1.xml><?xml version="1.0" encoding="utf-8"?>
<ds:datastoreItem xmlns:ds="http://schemas.openxmlformats.org/officeDocument/2006/customXml" ds:itemID="{A247A102-8D9E-5346-903D-AE59180F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Hare</dc:creator>
  <cp:lastModifiedBy>Joseph Picone</cp:lastModifiedBy>
  <cp:revision>5</cp:revision>
  <dcterms:created xsi:type="dcterms:W3CDTF">2015-10-16T13:06:00Z</dcterms:created>
  <dcterms:modified xsi:type="dcterms:W3CDTF">2015-10-16T13:21:00Z</dcterms:modified>
</cp:coreProperties>
</file>