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252AB" w14:textId="77777777" w:rsidR="00DE3F90" w:rsidRDefault="00000000">
      <w:pPr>
        <w:spacing w:after="80"/>
        <w:jc w:val="center"/>
      </w:pPr>
      <w:r>
        <w:rPr>
          <w:b/>
          <w:bCs/>
        </w:rPr>
        <w:t>Breast Cancer Pathology Classification Using Non-Neural and Neural Ensemble Methods</w:t>
      </w:r>
    </w:p>
    <w:p w14:paraId="1E3252AC" w14:textId="77777777" w:rsidR="00DE3F90" w:rsidRDefault="00000000">
      <w:pPr>
        <w:spacing w:after="40"/>
        <w:jc w:val="center"/>
      </w:pPr>
      <w:r>
        <w:rPr>
          <w:i/>
          <w:iCs/>
        </w:rPr>
        <w:t>Liam McLaughlin</w:t>
      </w:r>
    </w:p>
    <w:p w14:paraId="1E3252AD" w14:textId="77777777" w:rsidR="00DE3F90" w:rsidRDefault="00000000">
      <w:pPr>
        <w:spacing w:after="40"/>
        <w:jc w:val="center"/>
      </w:pPr>
      <w:r>
        <w:t>Department of Electrical and Computer Engineering, Temple University</w:t>
      </w:r>
    </w:p>
    <w:p w14:paraId="1E3252AE" w14:textId="29416817" w:rsidR="00DE3F90" w:rsidRDefault="00927072">
      <w:pPr>
        <w:spacing w:after="160"/>
        <w:jc w:val="center"/>
      </w:pPr>
      <w:r>
        <w:t>Tuq32015</w:t>
      </w:r>
      <w:r w:rsidR="00000000">
        <w:t>@temple.edu</w:t>
      </w:r>
    </w:p>
    <w:p w14:paraId="1E3252AF" w14:textId="30F7BAA5" w:rsidR="00DE3F90" w:rsidRDefault="00000000">
      <w:pPr>
        <w:spacing w:after="120"/>
      </w:pPr>
      <w:r>
        <w:rPr>
          <w:b/>
          <w:bCs/>
        </w:rPr>
        <w:t xml:space="preserve">Introduction: </w:t>
      </w:r>
      <w:r w:rsidR="00474818" w:rsidRPr="00474818">
        <w:t>About 1 in 8 women will develop breast cancer. This research uses DCT-compressed microscope pictures (TUH DPATH) to categorize breast tissue patches. Breast dataset) into six diagnostic categories: background (bckg), ductal carcinoma in situ (dcis), non-neoplastic (nneo), inflammatory (infl), and invasive ductal cancer (indc). Every sample is a 256x256 tissue patch with 3,072 DCT frequency coefficients spread over RGB channels. There are two main issues: the scoring metric's identical weighting of all five diagnostic classes regardless of frequency and the extreme class imbalance (dominant class nneo has seven times more samples than rarest class infl). Only training and development data were used for all judgments in two separate submissions; evaluation data was only used for the final prediction.</w:t>
      </w:r>
    </w:p>
    <w:p w14:paraId="1E3252B0" w14:textId="115699D4" w:rsidR="00DE3F90" w:rsidRDefault="00000000">
      <w:pPr>
        <w:spacing w:after="120"/>
      </w:pPr>
      <w:r>
        <w:rPr>
          <w:b/>
          <w:bCs/>
        </w:rPr>
        <w:t xml:space="preserve">Algorithm No. 1 Description (Non-Neural): </w:t>
      </w:r>
      <w:r w:rsidR="00316BAF">
        <w:t xml:space="preserve">Utilize a </w:t>
      </w:r>
      <w:r w:rsidR="00370B82" w:rsidRPr="00370B82">
        <w:t>stacking meta-learn</w:t>
      </w:r>
      <w:r w:rsidR="00316BAF">
        <w:t>er</w:t>
      </w:r>
      <w:r w:rsidR="00370B82" w:rsidRPr="00370B82">
        <w:t>, the non-neural pipeline integrate</w:t>
      </w:r>
      <w:r w:rsidR="0024775B">
        <w:t>d</w:t>
      </w:r>
      <w:r w:rsidR="00370B82" w:rsidRPr="00370B82">
        <w:t xml:space="preserve"> three basic learners. StandardScaler fit was used to normalize features on training data. Preprocessing was done in two simultaneous paths: While Random Forest and Extra Trees received the full 3,072 standardized features, taking advantage of their inherent robustness to high dimensionality through random feature subsampling, LightGBM received PCA-compressed features (471 components, 60% variance maintained) to decrease noise for tree construction</w:t>
      </w:r>
      <w:r w:rsidR="00982E12">
        <w:t xml:space="preserve"> on a</w:t>
      </w:r>
      <w:r w:rsidR="00681902">
        <w:t>n</w:t>
      </w:r>
      <w:r w:rsidR="00982E12">
        <w:t xml:space="preserve"> algorithm that struggles with noise</w:t>
      </w:r>
      <w:r w:rsidR="00370B82" w:rsidRPr="00370B82">
        <w:t>.</w:t>
      </w:r>
    </w:p>
    <w:p w14:paraId="1E3252B1" w14:textId="172D32A8" w:rsidR="00DE3F90" w:rsidRDefault="00B85A4B">
      <w:pPr>
        <w:spacing w:after="120"/>
      </w:pPr>
      <w:r w:rsidRPr="00B85A4B">
        <w:t xml:space="preserve">5-fold stratified out-of-fold (OOF) stacking produced with honest meta-features: each round, the three base models were trained on four folds and made predictions on the </w:t>
      </w:r>
      <w:r w:rsidR="00681902">
        <w:t xml:space="preserve">fold that was </w:t>
      </w:r>
      <w:r w:rsidRPr="00B85A4B">
        <w:t xml:space="preserve">held-out. This resulted in a 9,340x18 probability matrix in which each forecast was made by a model that had never seen that sample. These OOF characteristics were then used to teach a logistic regression meta-learner (C=1.0, balanced weights) the best per-class model </w:t>
      </w:r>
      <w:r w:rsidR="00681902" w:rsidRPr="00B85A4B">
        <w:t>combination</w:t>
      </w:r>
      <w:r w:rsidRPr="00B85A4B">
        <w:t>. 452 boosting rounds (num_leaves=18, lr=0.013, bagging_fraction=0.477) were used by LightGBM DART. To avoid relying too much on any one tree, DART randomly removes existing trees during training. Extra Trees provided extra variance reduction by training 372 trees (max_depth=20) with random split thresholds instead of optimal ones, while Random Forest trained 410 trees (max_depth=16, max_features=0.374).</w:t>
      </w:r>
    </w:p>
    <w:p w14:paraId="4F6D298C" w14:textId="77777777" w:rsidR="007F34A9" w:rsidRDefault="007F34A9">
      <w:pPr>
        <w:spacing w:after="120"/>
      </w:pPr>
      <w:r w:rsidRPr="007F34A9">
        <w:t>Optuna was used to optimize all hyperparameters, including PCA components (n=471), over more than 400 trials. Thresholds [1.05, 1.25, 0.65, 1.15, 1.0, 1.95] for the six classes were obtained by post-processing temperature scaling (best T=0.50, indicating underconfident probability) and greedy per-class threshold tuning on development data. The model's learnt bias toward dominating classes is compensated for by the high bckg threshold (1.95) and low infl threshold (0.65). The final models were retrained with locked parameters using a combination of train and development data.</w:t>
      </w:r>
    </w:p>
    <w:p w14:paraId="1E3252B3" w14:textId="067F3E3B" w:rsidR="00DE3F90" w:rsidRDefault="00000000">
      <w:pPr>
        <w:spacing w:after="120"/>
        <w:rPr>
          <w:b/>
          <w:bCs/>
        </w:rPr>
      </w:pPr>
      <w:r>
        <w:rPr>
          <w:b/>
          <w:bCs/>
        </w:rPr>
        <w:t xml:space="preserve">Algorithm No. 2 Description (Neural - Vision Transformer Ensemble): </w:t>
      </w:r>
    </w:p>
    <w:p w14:paraId="6A2BC4FC" w14:textId="13607F64" w:rsidR="007F34A9" w:rsidRDefault="00CA6D34">
      <w:pPr>
        <w:spacing w:after="120"/>
      </w:pPr>
      <w:r w:rsidRPr="00CA6D34">
        <w:t xml:space="preserve">Two ViT-B/16 models on complimentary representations of the DCT data are used by the neural pipeline. Model A (spatial) creates images with visible cell morphology that resemble </w:t>
      </w:r>
      <w:r w:rsidR="000A74A0">
        <w:t xml:space="preserve">the breast </w:t>
      </w:r>
      <w:r w:rsidRPr="00CA6D34">
        <w:t xml:space="preserve">tissue by reconstructing the original 3x32x32 tissue image using inverse DCT per color channel and resizing it to 224x224. Model B (frequency) captures the frequency energy distribution as a visual pattern by immediately reshaping the 3x32x32 DCT coefficients into a 224x224 image without reconstruction. </w:t>
      </w:r>
      <w:r w:rsidR="000A74A0">
        <w:t xml:space="preserve">Actual tissue shape and size </w:t>
      </w:r>
      <w:r w:rsidR="00E67B9D">
        <w:t xml:space="preserve">are captured in the first model; </w:t>
      </w:r>
      <w:r w:rsidRPr="00CA6D34">
        <w:t>frequency characteristics are captured by the</w:t>
      </w:r>
      <w:r w:rsidR="00E67B9D">
        <w:t xml:space="preserve"> latter</w:t>
      </w:r>
      <w:r w:rsidRPr="00CA6D34">
        <w:t>.</w:t>
      </w:r>
    </w:p>
    <w:p w14:paraId="40F8450C" w14:textId="77777777" w:rsidR="007B68BA" w:rsidRDefault="007B68BA">
      <w:pPr>
        <w:spacing w:after="120"/>
      </w:pPr>
      <w:r w:rsidRPr="007B68BA">
        <w:t xml:space="preserve">ViT-B/16 has 86 million parameters: a classification head (768x6, trained from scratch), 12 transformer blocks with 12-head self-attention and a feed-forward network (768-&gt;3072-&gt;768), and a patch embedding layer that divides each 224x224 image into 196 patches of 16x16 (768 dimensions each). In contrast to tree-based models, self-attention captures long-range spatial interdependence by enabling each patch to </w:t>
      </w:r>
      <w:r w:rsidRPr="007B68BA">
        <w:lastRenderedPageBreak/>
        <w:t>simultaneously attend to every other patch. Visual knowledge transfer was made possible by pretrained ImageNet-1k weights. While enabling task-specific adaptation in subsequent layers, layer-wise learning rate decline (factor=0.859) preserved early-layer general features. Using OneCycleLR scheduling and cross-entropy loss with inverse-frequency class weights, the AdamW optimizer (lr=1.98e-4, weight_decay=0.0203) was employed.</w:t>
      </w:r>
    </w:p>
    <w:p w14:paraId="6E6154AA" w14:textId="77777777" w:rsidR="00A95B0B" w:rsidRDefault="00A95B0B">
      <w:pPr>
        <w:spacing w:after="80"/>
      </w:pPr>
      <w:r w:rsidRPr="00A95B0B">
        <w:t>The development set was divided 70/30 into 1,624 samples kept aside just for calibration to avoid double-dipping and 3,786 samples for smoothing early halting (3-epoch rolling average, patience=5, min_epochs=8). The optimal epochs for Model A and Model B are 14 and 20, respectively. Inverse-score weighting was used for the blend weights (w_A=0.459, w_B=0.541). Only calibration split predictions were subjected to temperature scaling (T=0.50) and per-class threshold tweaking. For the final submission, both models underwent combined train+dev retraining.</w:t>
      </w:r>
    </w:p>
    <w:p w14:paraId="33623F1E" w14:textId="53DCED70" w:rsidR="00AB7DF5" w:rsidRDefault="00000000" w:rsidP="00F95DD3">
      <w:pPr>
        <w:spacing w:after="80"/>
      </w:pPr>
      <w:r>
        <w:rPr>
          <w:b/>
          <w:bCs/>
        </w:rPr>
        <w:t xml:space="preserve">Results: </w:t>
      </w:r>
      <w:r w:rsidR="00F95DD3" w:rsidRPr="00F95DD3">
        <w:t>Performance for each split is summarized in Table 1. The non-neural stacking ensemble was significantly surpassed by the neural ViT ensemble. Significant overfitting was seen in the non-neural pipeline: the 26.75% train-to-dev gap, which translates to z=31.47 standard deviations above predicted sampling noise, confirms actual overfitting caused by a lack of samples for rare classes (296 infl, 320 dcis). The neural pipeline showed steady calibration; no overfitting across splits is confirmed by the 0.09% difference between calibration and full development scores (z=0.07). The brain evaluation score of 35.80% indicated a minor distribution shift between the development and evaluation data, falling just outside the 95% confidence interval (30.41%-32.89%).</w:t>
      </w:r>
    </w:p>
    <w:p w14:paraId="193AD7FA" w14:textId="77777777" w:rsidR="00F95DD3" w:rsidRDefault="00F95DD3" w:rsidP="00F95DD3">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DE3F90" w14:paraId="1E3252BA"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1E3252B8" w14:textId="77777777" w:rsidR="00DE3F90" w:rsidRDefault="00000000">
            <w:r>
              <w:rPr>
                <w:b/>
                <w:bCs/>
              </w:rPr>
              <w:t>Algorithm</w:t>
            </w:r>
          </w:p>
        </w:tc>
        <w:tc>
          <w:tcPr>
            <w:tcW w:w="2340" w:type="dxa"/>
            <w:gridSpan w:val="3"/>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1E3252B9" w14:textId="77777777" w:rsidR="00DE3F90" w:rsidRDefault="00000000">
            <w:pPr>
              <w:jc w:val="center"/>
            </w:pPr>
            <w:r>
              <w:rPr>
                <w:b/>
                <w:bCs/>
              </w:rPr>
              <w:t>Dataset</w:t>
            </w:r>
          </w:p>
        </w:tc>
      </w:tr>
      <w:tr w:rsidR="00DE3F90" w14:paraId="1E3252BF"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1E3252BB" w14:textId="77777777" w:rsidR="00DE3F90" w:rsidRDefault="00DE3F90"/>
        </w:tc>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1E3252BC" w14:textId="77777777" w:rsidR="00DE3F90" w:rsidRDefault="00000000">
            <w:pPr>
              <w:jc w:val="center"/>
            </w:pPr>
            <w:r>
              <w:rPr>
                <w:b/>
                <w:bCs/>
              </w:rPr>
              <w:t>Train</w:t>
            </w:r>
          </w:p>
        </w:tc>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1E3252BD" w14:textId="77777777" w:rsidR="00DE3F90" w:rsidRDefault="00000000">
            <w:pPr>
              <w:jc w:val="center"/>
            </w:pPr>
            <w:r>
              <w:rPr>
                <w:b/>
                <w:bCs/>
              </w:rPr>
              <w:t>Dev Test</w:t>
            </w:r>
          </w:p>
        </w:tc>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1E3252BE" w14:textId="77777777" w:rsidR="00DE3F90" w:rsidRDefault="00000000">
            <w:pPr>
              <w:jc w:val="center"/>
            </w:pPr>
            <w:r>
              <w:rPr>
                <w:b/>
                <w:bCs/>
              </w:rPr>
              <w:t>Eval</w:t>
            </w:r>
          </w:p>
        </w:tc>
      </w:tr>
      <w:tr w:rsidR="00DE3F90" w14:paraId="1E3252C4"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3252C0" w14:textId="77777777" w:rsidR="00DE3F90" w:rsidRDefault="00000000">
            <w:r>
              <w:t>Non-Neural (RNF)</w:t>
            </w:r>
          </w:p>
        </w:tc>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3252C1" w14:textId="77777777" w:rsidR="00DE3F90" w:rsidRDefault="00000000">
            <w:pPr>
              <w:jc w:val="center"/>
            </w:pPr>
            <w:r>
              <w:t>19.18% / 18.22%</w:t>
            </w:r>
          </w:p>
        </w:tc>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3252C2" w14:textId="77777777" w:rsidR="00DE3F90" w:rsidRDefault="00000000">
            <w:pPr>
              <w:jc w:val="center"/>
            </w:pPr>
            <w:r>
              <w:t>47.86% / 44.97%</w:t>
            </w:r>
          </w:p>
        </w:tc>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3252C3" w14:textId="77777777" w:rsidR="00DE3F90" w:rsidRDefault="00000000">
            <w:pPr>
              <w:jc w:val="center"/>
            </w:pPr>
            <w:r>
              <w:t>54.12% / 50.26%</w:t>
            </w:r>
          </w:p>
        </w:tc>
      </w:tr>
      <w:tr w:rsidR="00DE3F90" w14:paraId="1E3252C9"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3252C5" w14:textId="77777777" w:rsidR="00DE3F90" w:rsidRDefault="00000000">
            <w:r>
              <w:t>Neural (ViT)</w:t>
            </w:r>
          </w:p>
        </w:tc>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3252C6" w14:textId="77777777" w:rsidR="00DE3F90" w:rsidRDefault="00000000">
            <w:pPr>
              <w:jc w:val="center"/>
            </w:pPr>
            <w:r>
              <w:t>0.45% / 0.42%</w:t>
            </w:r>
          </w:p>
        </w:tc>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3252C7" w14:textId="77777777" w:rsidR="00DE3F90" w:rsidRDefault="00000000">
            <w:pPr>
              <w:jc w:val="center"/>
            </w:pPr>
            <w:r>
              <w:t>34.25% / 31.65%</w:t>
            </w:r>
          </w:p>
        </w:tc>
        <w:tc>
          <w:tcPr>
            <w:tcW w:w="234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3252C8" w14:textId="77777777" w:rsidR="00DE3F90" w:rsidRDefault="00000000">
            <w:pPr>
              <w:jc w:val="center"/>
            </w:pPr>
            <w:r>
              <w:t>39.12% / 35.80%</w:t>
            </w:r>
          </w:p>
        </w:tc>
      </w:tr>
    </w:tbl>
    <w:p w14:paraId="1032D603" w14:textId="240D95F9" w:rsidR="00001BD2" w:rsidRPr="007C1262" w:rsidRDefault="00000000">
      <w:pPr>
        <w:spacing w:before="80" w:after="120"/>
        <w:rPr>
          <w:i/>
          <w:iCs/>
        </w:rPr>
      </w:pPr>
      <w:r>
        <w:rPr>
          <w:i/>
          <w:iCs/>
        </w:rPr>
        <w:t>Table 1. Performance of non-neural (RNF) and neural (ViT) algorithms. Each cell shows two values (submission 1 / submission 2) as weighted error score (90% avg label error + 10% background error). Lower is better.</w:t>
      </w:r>
    </w:p>
    <w:p w14:paraId="5951E589" w14:textId="77777777" w:rsidR="00EB04FB" w:rsidRPr="00EB04FB" w:rsidRDefault="00000000" w:rsidP="00EB04FB">
      <w:pPr>
        <w:spacing w:after="120"/>
      </w:pPr>
      <w:r>
        <w:rPr>
          <w:b/>
          <w:bCs/>
        </w:rPr>
        <w:t xml:space="preserve">Conclusions: </w:t>
      </w:r>
      <w:r w:rsidR="00EB04FB" w:rsidRPr="00EB04FB">
        <w:t>With an evaluation error of 35.80% compared to 50.26%, the dual ViT ensemble significantly outperformed the non-neural stacking pipeline—a 14.46 point improvement. The neural advantage resulted from self-attention's capacity to simultaneously acquire long-range spatial relationships across all 196 image patches and pretrained ImageNet-1k visual information. Beyond either model alone, generalization was further enhanced by the complementing spatial and frequency representations of the same DCT data.</w:t>
      </w:r>
    </w:p>
    <w:p w14:paraId="27E4164C" w14:textId="46CF81FC" w:rsidR="00106DF1" w:rsidRDefault="00EB04FB" w:rsidP="00106DF1">
      <w:pPr>
        <w:spacing w:after="120"/>
      </w:pPr>
      <w:r w:rsidRPr="00EB04FB">
        <w:t>The main drawback of the non-neural pipeline was the lack of data for rare classes (296 infl and 320 dcis samples), which could not be solved by class weighting or hyperparameter modification. The confirmed overfitting (z=31.47) is essentially a result of a lack of data. On the other hand, the separate 70/30 development split design effectively avoided postprocessing leakage, and the neural pipeline showed statistically stable calibration (z=0.07 between splits).</w:t>
      </w:r>
    </w:p>
    <w:p w14:paraId="1E3252CD" w14:textId="7F120286" w:rsidR="00DE3F90" w:rsidRDefault="00A0077E" w:rsidP="005F5EAA">
      <w:pPr>
        <w:spacing w:after="120"/>
      </w:pPr>
      <w:r w:rsidRPr="00A0077E">
        <w:t xml:space="preserve">Future improvements </w:t>
      </w:r>
      <w:r w:rsidR="009F5B58">
        <w:t xml:space="preserve">for </w:t>
      </w:r>
      <w:r w:rsidR="00671C89">
        <w:t xml:space="preserve">my better model </w:t>
      </w:r>
      <w:r w:rsidRPr="00A0077E">
        <w:t xml:space="preserve">pipeline would focus on three primary areas. </w:t>
      </w:r>
      <w:r w:rsidR="00671C89">
        <w:t>R</w:t>
      </w:r>
      <w:r w:rsidRPr="00A0077E">
        <w:t>eplacing ImageNet-1k pretrained weights with ImageNet-21k weights</w:t>
      </w:r>
      <w:r w:rsidR="00671C89">
        <w:t xml:space="preserve">, </w:t>
      </w:r>
      <w:r w:rsidRPr="00A0077E">
        <w:t>which cover 21,000 classes and approximately 14 million images compared to 1,000 classes and 1.2 million images</w:t>
      </w:r>
      <w:r w:rsidR="00671C89">
        <w:t xml:space="preserve">, </w:t>
      </w:r>
      <w:r w:rsidRPr="00A0077E">
        <w:t xml:space="preserve">would provide substantially stronger visual feature transfer to medical imaging tasks, a well-established improvement in pathology classification literature. Optuna hyperparameter search for neural training configuration was not feasible given that each neural trial requires several hours on a single GPU, but with additional compute time could meaningfully improve performance beyond the manually sourced hyperparameters used here. </w:t>
      </w:r>
    </w:p>
    <w:sectPr w:rsidR="00DE3F9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31CA"/>
    <w:multiLevelType w:val="hybridMultilevel"/>
    <w:tmpl w:val="F1BC41FC"/>
    <w:lvl w:ilvl="0" w:tplc="D592E776">
      <w:start w:val="1"/>
      <w:numFmt w:val="bullet"/>
      <w:lvlText w:val="●"/>
      <w:lvlJc w:val="left"/>
      <w:pPr>
        <w:ind w:left="720" w:hanging="360"/>
      </w:pPr>
    </w:lvl>
    <w:lvl w:ilvl="1" w:tplc="2B70D53E">
      <w:start w:val="1"/>
      <w:numFmt w:val="bullet"/>
      <w:lvlText w:val="○"/>
      <w:lvlJc w:val="left"/>
      <w:pPr>
        <w:ind w:left="1440" w:hanging="360"/>
      </w:pPr>
    </w:lvl>
    <w:lvl w:ilvl="2" w:tplc="4DFC1DA6">
      <w:start w:val="1"/>
      <w:numFmt w:val="bullet"/>
      <w:lvlText w:val="■"/>
      <w:lvlJc w:val="left"/>
      <w:pPr>
        <w:ind w:left="2160" w:hanging="360"/>
      </w:pPr>
    </w:lvl>
    <w:lvl w:ilvl="3" w:tplc="AFEEEF4A">
      <w:start w:val="1"/>
      <w:numFmt w:val="bullet"/>
      <w:lvlText w:val="●"/>
      <w:lvlJc w:val="left"/>
      <w:pPr>
        <w:ind w:left="2880" w:hanging="360"/>
      </w:pPr>
    </w:lvl>
    <w:lvl w:ilvl="4" w:tplc="7DEAF612">
      <w:start w:val="1"/>
      <w:numFmt w:val="bullet"/>
      <w:lvlText w:val="○"/>
      <w:lvlJc w:val="left"/>
      <w:pPr>
        <w:ind w:left="3600" w:hanging="360"/>
      </w:pPr>
    </w:lvl>
    <w:lvl w:ilvl="5" w:tplc="951CDA8E">
      <w:start w:val="1"/>
      <w:numFmt w:val="bullet"/>
      <w:lvlText w:val="■"/>
      <w:lvlJc w:val="left"/>
      <w:pPr>
        <w:ind w:left="4320" w:hanging="360"/>
      </w:pPr>
    </w:lvl>
    <w:lvl w:ilvl="6" w:tplc="FD6496E8">
      <w:start w:val="1"/>
      <w:numFmt w:val="bullet"/>
      <w:lvlText w:val="●"/>
      <w:lvlJc w:val="left"/>
      <w:pPr>
        <w:ind w:left="5040" w:hanging="360"/>
      </w:pPr>
    </w:lvl>
    <w:lvl w:ilvl="7" w:tplc="AEF2255E">
      <w:start w:val="1"/>
      <w:numFmt w:val="bullet"/>
      <w:lvlText w:val="●"/>
      <w:lvlJc w:val="left"/>
      <w:pPr>
        <w:ind w:left="5760" w:hanging="360"/>
      </w:pPr>
    </w:lvl>
    <w:lvl w:ilvl="8" w:tplc="ECF03530">
      <w:start w:val="1"/>
      <w:numFmt w:val="bullet"/>
      <w:lvlText w:val="●"/>
      <w:lvlJc w:val="left"/>
      <w:pPr>
        <w:ind w:left="6480" w:hanging="360"/>
      </w:pPr>
    </w:lvl>
  </w:abstractNum>
  <w:num w:numId="1" w16cid:durableId="6846773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F90"/>
    <w:rsid w:val="00001BD2"/>
    <w:rsid w:val="000700C7"/>
    <w:rsid w:val="000A74A0"/>
    <w:rsid w:val="00106DF1"/>
    <w:rsid w:val="0024775B"/>
    <w:rsid w:val="00316BAF"/>
    <w:rsid w:val="00370B82"/>
    <w:rsid w:val="00474818"/>
    <w:rsid w:val="005F5EAA"/>
    <w:rsid w:val="00671C89"/>
    <w:rsid w:val="00681902"/>
    <w:rsid w:val="006B1304"/>
    <w:rsid w:val="0072614B"/>
    <w:rsid w:val="007B68BA"/>
    <w:rsid w:val="007C1262"/>
    <w:rsid w:val="007F34A9"/>
    <w:rsid w:val="00882C61"/>
    <w:rsid w:val="00927072"/>
    <w:rsid w:val="00982E12"/>
    <w:rsid w:val="009C0C5D"/>
    <w:rsid w:val="009F5B58"/>
    <w:rsid w:val="00A0077E"/>
    <w:rsid w:val="00A95B0B"/>
    <w:rsid w:val="00AB7DF5"/>
    <w:rsid w:val="00B14547"/>
    <w:rsid w:val="00B85A4B"/>
    <w:rsid w:val="00C775B7"/>
    <w:rsid w:val="00CA6D34"/>
    <w:rsid w:val="00DE3F90"/>
    <w:rsid w:val="00E67B9D"/>
    <w:rsid w:val="00EB04FB"/>
    <w:rsid w:val="00F36166"/>
    <w:rsid w:val="00F95DD3"/>
    <w:rsid w:val="00FF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52AB"/>
  <w15:docId w15:val="{86FC9D1C-455B-46B6-B8B1-C3A64ED6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1192</Words>
  <Characters>6799</Characters>
  <Application>Microsoft Office Word</Application>
  <DocSecurity>0</DocSecurity>
  <Lines>56</Lines>
  <Paragraphs>15</Paragraphs>
  <ScaleCrop>false</ScaleCrop>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Liam McLaughlin</cp:lastModifiedBy>
  <cp:revision>33</cp:revision>
  <dcterms:created xsi:type="dcterms:W3CDTF">2026-05-01T17:50:00Z</dcterms:created>
  <dcterms:modified xsi:type="dcterms:W3CDTF">2026-05-01T20:22:00Z</dcterms:modified>
</cp:coreProperties>
</file>